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120" w:after="120" w:afterLines="5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榆林市住房和城乡建设领域</w:t>
      </w:r>
    </w:p>
    <w:p>
      <w:pPr>
        <w:pStyle w:val="4"/>
        <w:adjustRightInd w:val="0"/>
        <w:snapToGrid w:val="0"/>
        <w:spacing w:before="120" w:after="120" w:afterLines="5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信用评价实施细则</w:t>
      </w:r>
    </w:p>
    <w:p>
      <w:pPr>
        <w:pStyle w:val="4"/>
        <w:adjustRightInd w:val="0"/>
        <w:snapToGrid w:val="0"/>
        <w:spacing w:line="570" w:lineRule="exact"/>
        <w:ind w:firstLine="640" w:firstLineChars="200"/>
        <w:jc w:val="both"/>
        <w:rPr>
          <w:rFonts w:ascii="仿宋" w:hAnsi="仿宋" w:eastAsia="仿宋" w:cs="仿宋"/>
        </w:rPr>
      </w:pPr>
      <w:r>
        <w:rPr>
          <w:rFonts w:hint="eastAsia" w:ascii="仿宋" w:hAnsi="仿宋" w:eastAsia="仿宋" w:cs="仿宋"/>
        </w:rPr>
        <w:t>为贯彻落实国家和陕西省关于推进社会信用体系建设的系列决策部署，加快榆林市重点领域社会信用体系建设，全面构建以信用为基础的新型监管机制，大力推进我市“十四五”期间社会信用体系建设，按照市委、市政府有关决策部署，结合我局工作实际，特制定本实施细则。</w:t>
      </w:r>
    </w:p>
    <w:p>
      <w:pPr>
        <w:pStyle w:val="4"/>
        <w:tabs>
          <w:tab w:val="left" w:pos="1278"/>
        </w:tabs>
        <w:spacing w:line="570" w:lineRule="exact"/>
        <w:ind w:right="159" w:firstLine="640" w:firstLineChars="200"/>
        <w:rPr>
          <w:rFonts w:ascii="黑体" w:hAnsi="黑体" w:eastAsia="黑体" w:cs="黑体"/>
        </w:rPr>
      </w:pPr>
      <w:r>
        <w:rPr>
          <w:rFonts w:hint="eastAsia" w:ascii="黑体" w:hAnsi="黑体" w:eastAsia="黑体" w:cs="黑体"/>
        </w:rPr>
        <w:t>一、勘察设计领域</w:t>
      </w:r>
    </w:p>
    <w:p>
      <w:pPr>
        <w:spacing w:line="570" w:lineRule="exact"/>
        <w:ind w:firstLine="640" w:firstLineChars="200"/>
        <w:rPr>
          <w:rFonts w:ascii="楷体" w:hAnsi="楷体" w:eastAsia="楷体" w:cs="楷体"/>
          <w:sz w:val="32"/>
          <w:szCs w:val="32"/>
        </w:rPr>
      </w:pPr>
      <w:r>
        <w:rPr>
          <w:rFonts w:hint="eastAsia" w:ascii="楷体" w:hAnsi="楷体" w:eastAsia="楷体" w:cs="楷体"/>
          <w:sz w:val="32"/>
          <w:szCs w:val="32"/>
        </w:rPr>
        <w:t>（一）评价等级</w:t>
      </w:r>
    </w:p>
    <w:p>
      <w:pPr>
        <w:pStyle w:val="4"/>
        <w:adjustRightInd w:val="0"/>
        <w:snapToGrid w:val="0"/>
        <w:spacing w:line="570" w:lineRule="exact"/>
        <w:ind w:firstLine="640" w:firstLineChars="200"/>
        <w:jc w:val="both"/>
        <w:rPr>
          <w:rFonts w:ascii="仿宋" w:hAnsi="仿宋" w:eastAsia="仿宋" w:cs="仿宋"/>
        </w:rPr>
      </w:pPr>
      <w:r>
        <w:rPr>
          <w:rFonts w:hint="eastAsia" w:ascii="仿宋" w:hAnsi="仿宋" w:eastAsia="仿宋" w:cs="仿宋"/>
        </w:rPr>
        <w:t>根据信用综合评价结果评定，分为A级优、B级良、C级中或较差和D级差四个等级。</w:t>
      </w:r>
    </w:p>
    <w:p>
      <w:pPr>
        <w:spacing w:line="570" w:lineRule="exact"/>
        <w:ind w:firstLine="640" w:firstLineChars="200"/>
        <w:rPr>
          <w:rFonts w:ascii="楷体" w:hAnsi="楷体" w:eastAsia="楷体" w:cs="楷体"/>
          <w:sz w:val="32"/>
          <w:szCs w:val="32"/>
        </w:rPr>
      </w:pPr>
      <w:r>
        <w:rPr>
          <w:rFonts w:hint="eastAsia" w:ascii="楷体" w:hAnsi="楷体" w:eastAsia="楷体" w:cs="楷体"/>
          <w:sz w:val="32"/>
          <w:szCs w:val="32"/>
        </w:rPr>
        <w:t>（二）评价标准</w:t>
      </w:r>
    </w:p>
    <w:p>
      <w:pPr>
        <w:pStyle w:val="4"/>
        <w:adjustRightInd w:val="0"/>
        <w:snapToGrid w:val="0"/>
        <w:spacing w:line="570" w:lineRule="exact"/>
        <w:ind w:firstLine="640" w:firstLineChars="200"/>
        <w:jc w:val="both"/>
        <w:rPr>
          <w:rFonts w:ascii="仿宋" w:hAnsi="仿宋" w:eastAsia="仿宋" w:cs="仿宋"/>
        </w:rPr>
      </w:pPr>
      <w:r>
        <w:rPr>
          <w:rFonts w:hint="eastAsia" w:ascii="仿宋" w:hAnsi="仿宋" w:eastAsia="仿宋" w:cs="仿宋"/>
        </w:rPr>
        <w:t>A级优：综合评价得分为90分以上；</w:t>
      </w:r>
    </w:p>
    <w:p>
      <w:pPr>
        <w:pStyle w:val="4"/>
        <w:adjustRightInd w:val="0"/>
        <w:snapToGrid w:val="0"/>
        <w:spacing w:line="570" w:lineRule="exact"/>
        <w:ind w:firstLine="640" w:firstLineChars="200"/>
        <w:jc w:val="both"/>
        <w:rPr>
          <w:rFonts w:ascii="仿宋" w:hAnsi="仿宋" w:eastAsia="仿宋" w:cs="仿宋"/>
        </w:rPr>
      </w:pPr>
      <w:r>
        <w:rPr>
          <w:rFonts w:hint="eastAsia" w:ascii="仿宋" w:hAnsi="仿宋" w:eastAsia="仿宋" w:cs="仿宋"/>
        </w:rPr>
        <w:t>B级良：综合评价得分为80分以上90分以下；</w:t>
      </w:r>
    </w:p>
    <w:p>
      <w:pPr>
        <w:pStyle w:val="4"/>
        <w:adjustRightInd w:val="0"/>
        <w:snapToGrid w:val="0"/>
        <w:spacing w:line="570" w:lineRule="exact"/>
        <w:ind w:firstLine="640" w:firstLineChars="200"/>
        <w:jc w:val="both"/>
        <w:rPr>
          <w:rFonts w:ascii="仿宋" w:hAnsi="仿宋" w:eastAsia="仿宋" w:cs="仿宋"/>
        </w:rPr>
      </w:pPr>
      <w:r>
        <w:rPr>
          <w:rFonts w:hint="eastAsia" w:ascii="仿宋" w:hAnsi="仿宋" w:eastAsia="仿宋" w:cs="仿宋"/>
        </w:rPr>
        <w:t>C级中或较差：综合评价得分为60分以上80分以下；</w:t>
      </w:r>
    </w:p>
    <w:p>
      <w:pPr>
        <w:pStyle w:val="4"/>
        <w:adjustRightInd w:val="0"/>
        <w:snapToGrid w:val="0"/>
        <w:spacing w:line="570" w:lineRule="exact"/>
        <w:ind w:firstLine="640" w:firstLineChars="200"/>
        <w:jc w:val="both"/>
        <w:rPr>
          <w:rFonts w:ascii="仿宋" w:hAnsi="仿宋" w:eastAsia="仿宋" w:cs="仿宋"/>
        </w:rPr>
      </w:pPr>
      <w:r>
        <w:rPr>
          <w:rFonts w:hint="eastAsia" w:ascii="仿宋" w:hAnsi="仿宋" w:eastAsia="仿宋" w:cs="仿宋"/>
        </w:rPr>
        <w:t>D级差：综合评价得分为60分以下。</w:t>
      </w:r>
    </w:p>
    <w:p>
      <w:pPr>
        <w:pStyle w:val="4"/>
        <w:adjustRightInd w:val="0"/>
        <w:snapToGrid w:val="0"/>
        <w:spacing w:line="570" w:lineRule="exact"/>
        <w:ind w:firstLine="640" w:firstLineChars="200"/>
        <w:jc w:val="both"/>
        <w:rPr>
          <w:rFonts w:ascii="仿宋" w:hAnsi="仿宋" w:eastAsia="仿宋" w:cs="仿宋"/>
        </w:rPr>
      </w:pPr>
      <w:r>
        <w:rPr>
          <w:rFonts w:hint="eastAsia" w:ascii="仿宋" w:hAnsi="仿宋" w:eastAsia="仿宋" w:cs="仿宋"/>
        </w:rPr>
        <w:t>所称的“以上”含本数，“以下”不含本数。</w:t>
      </w:r>
    </w:p>
    <w:p>
      <w:pPr>
        <w:spacing w:line="570" w:lineRule="exact"/>
        <w:ind w:firstLine="640" w:firstLineChars="200"/>
        <w:rPr>
          <w:rFonts w:ascii="楷体" w:hAnsi="楷体" w:eastAsia="楷体" w:cs="楷体"/>
          <w:sz w:val="32"/>
          <w:szCs w:val="32"/>
        </w:rPr>
      </w:pPr>
      <w:r>
        <w:rPr>
          <w:rFonts w:hint="eastAsia" w:ascii="楷体" w:hAnsi="楷体" w:eastAsia="楷体" w:cs="楷体"/>
          <w:sz w:val="32"/>
          <w:szCs w:val="32"/>
        </w:rPr>
        <w:t>（三）评价依据</w:t>
      </w:r>
    </w:p>
    <w:p>
      <w:pPr>
        <w:pStyle w:val="4"/>
        <w:adjustRightInd w:val="0"/>
        <w:snapToGrid w:val="0"/>
        <w:spacing w:line="570" w:lineRule="exact"/>
        <w:ind w:firstLine="640" w:firstLineChars="200"/>
        <w:jc w:val="both"/>
        <w:rPr>
          <w:rFonts w:ascii="仿宋" w:hAnsi="仿宋" w:eastAsia="仿宋" w:cs="仿宋"/>
        </w:rPr>
      </w:pPr>
      <w:r>
        <w:rPr>
          <w:rFonts w:hint="eastAsia" w:ascii="仿宋" w:hAnsi="仿宋" w:eastAsia="仿宋" w:cs="仿宋"/>
        </w:rPr>
        <w:t>（见附件1）</w:t>
      </w:r>
    </w:p>
    <w:p>
      <w:pPr>
        <w:spacing w:line="570" w:lineRule="exact"/>
        <w:ind w:firstLine="640" w:firstLineChars="200"/>
        <w:rPr>
          <w:rFonts w:ascii="楷体" w:hAnsi="楷体" w:eastAsia="楷体" w:cs="楷体"/>
          <w:sz w:val="32"/>
          <w:szCs w:val="32"/>
        </w:rPr>
      </w:pPr>
      <w:r>
        <w:rPr>
          <w:rFonts w:hint="eastAsia" w:ascii="楷体" w:hAnsi="楷体" w:eastAsia="楷体" w:cs="楷体"/>
          <w:sz w:val="32"/>
          <w:szCs w:val="32"/>
        </w:rPr>
        <w:t>（四）评价应用</w:t>
      </w:r>
    </w:p>
    <w:p>
      <w:pPr>
        <w:pStyle w:val="4"/>
        <w:adjustRightInd w:val="0"/>
        <w:snapToGrid w:val="0"/>
        <w:spacing w:line="570" w:lineRule="exact"/>
        <w:ind w:firstLine="640" w:firstLineChars="200"/>
        <w:jc w:val="both"/>
        <w:rPr>
          <w:rFonts w:ascii="仿宋" w:hAnsi="仿宋" w:eastAsia="仿宋" w:cs="仿宋"/>
        </w:rPr>
      </w:pPr>
      <w:r>
        <w:rPr>
          <w:rFonts w:hint="eastAsia" w:ascii="仿宋" w:hAnsi="仿宋" w:eastAsia="仿宋" w:cs="仿宋"/>
        </w:rPr>
        <w:t>1.对信用评价结果为优的企业，在办理行政审批、市场准入等业务中，提供“绿色通道”和“容缺受理”等便利服务措施；适当减少日常监督检查和抽检频次; 优先考虑为政策试点、项目扶持对象；优先推荐参加各级优秀工程勘察设计奖等评优评先活动；优先推荐参加诚信示范单位创建活动；优先推荐参加国内外各类学术交流活动。</w:t>
      </w:r>
    </w:p>
    <w:p>
      <w:pPr>
        <w:pStyle w:val="4"/>
        <w:adjustRightInd w:val="0"/>
        <w:snapToGrid w:val="0"/>
        <w:spacing w:line="570" w:lineRule="exact"/>
        <w:ind w:firstLine="640" w:firstLineChars="200"/>
        <w:jc w:val="both"/>
        <w:rPr>
          <w:rFonts w:ascii="仿宋" w:hAnsi="仿宋" w:eastAsia="仿宋" w:cs="仿宋"/>
        </w:rPr>
      </w:pPr>
      <w:r>
        <w:rPr>
          <w:rFonts w:hint="eastAsia" w:ascii="仿宋" w:hAnsi="仿宋" w:eastAsia="仿宋" w:cs="仿宋"/>
        </w:rPr>
        <w:t>2.对信用评价结果为良企业，实施常规监督管理和适度抽检频次。</w:t>
      </w:r>
    </w:p>
    <w:p>
      <w:pPr>
        <w:pStyle w:val="4"/>
        <w:adjustRightInd w:val="0"/>
        <w:snapToGrid w:val="0"/>
        <w:spacing w:line="570" w:lineRule="exact"/>
        <w:ind w:firstLine="640" w:firstLineChars="200"/>
        <w:jc w:val="both"/>
        <w:rPr>
          <w:rFonts w:ascii="仿宋" w:hAnsi="仿宋" w:eastAsia="仿宋" w:cs="仿宋"/>
        </w:rPr>
      </w:pPr>
      <w:r>
        <w:rPr>
          <w:rFonts w:hint="eastAsia" w:ascii="仿宋" w:hAnsi="仿宋" w:eastAsia="仿宋" w:cs="仿宋"/>
        </w:rPr>
        <w:t>3.对信用评价结果为中或较差的企业，实施强化监督管理和较高抽检频次。</w:t>
      </w:r>
    </w:p>
    <w:p>
      <w:pPr>
        <w:pStyle w:val="4"/>
        <w:spacing w:line="570" w:lineRule="exact"/>
        <w:ind w:firstLine="640" w:firstLineChars="200"/>
        <w:jc w:val="both"/>
        <w:rPr>
          <w:rFonts w:hint="eastAsia" w:ascii="仿宋" w:hAnsi="仿宋" w:eastAsia="仿宋" w:cs="仿宋"/>
        </w:rPr>
      </w:pPr>
      <w:r>
        <w:rPr>
          <w:rFonts w:hint="eastAsia" w:ascii="仿宋" w:hAnsi="仿宋" w:eastAsia="仿宋" w:cs="仿宋"/>
        </w:rPr>
        <w:t>4.对信用评价结果为差的企业，作为年度不诚信单位进行全市通报，纳入重点监督管理范围，随时跟踪检查并督促其整改；不得作为政策试点、项目扶持对象；取消企业参加下一年度各类评优评先的资格；情节严重的，建议发证机关责令其停业整顿、降低其资质等级或者吊销其资质证书。</w:t>
      </w:r>
    </w:p>
    <w:p>
      <w:pPr>
        <w:pStyle w:val="4"/>
        <w:spacing w:line="570" w:lineRule="exact"/>
        <w:ind w:firstLine="596" w:firstLineChars="200"/>
        <w:jc w:val="both"/>
        <w:rPr>
          <w:rFonts w:ascii="黑体" w:hAnsi="黑体" w:eastAsia="黑体" w:cs="仿宋_GB2312"/>
          <w:spacing w:val="-11"/>
        </w:rPr>
      </w:pPr>
      <w:r>
        <w:rPr>
          <w:rFonts w:ascii="黑体" w:hAnsi="黑体" w:eastAsia="黑体" w:cs="仿宋_GB2312"/>
          <w:spacing w:val="-11"/>
        </w:rPr>
        <w:t>二</w:t>
      </w:r>
      <w:r>
        <w:rPr>
          <w:rFonts w:hint="eastAsia" w:ascii="黑体" w:hAnsi="黑体" w:eastAsia="黑体" w:cs="仿宋_GB2312"/>
          <w:spacing w:val="-11"/>
        </w:rPr>
        <w:t>、</w:t>
      </w:r>
      <w:r>
        <w:rPr>
          <w:rFonts w:ascii="黑体" w:hAnsi="黑体" w:eastAsia="黑体" w:cs="仿宋_GB2312"/>
          <w:spacing w:val="-11"/>
        </w:rPr>
        <w:t>建筑领域</w:t>
      </w:r>
    </w:p>
    <w:p>
      <w:pPr>
        <w:spacing w:line="570" w:lineRule="exact"/>
        <w:ind w:firstLine="640" w:firstLineChars="200"/>
        <w:rPr>
          <w:rFonts w:ascii="楷体" w:hAnsi="楷体" w:eastAsia="楷体" w:cs="楷体"/>
          <w:sz w:val="32"/>
          <w:szCs w:val="32"/>
        </w:rPr>
      </w:pPr>
      <w:r>
        <w:rPr>
          <w:rFonts w:hint="eastAsia" w:ascii="楷体" w:hAnsi="楷体" w:eastAsia="楷体" w:cs="楷体"/>
          <w:sz w:val="32"/>
          <w:szCs w:val="32"/>
        </w:rPr>
        <w:t>（一）评价等级</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根据信用综合评价结果评定，分为A级优、B级良、C级中和D级差四个等级。</w:t>
      </w:r>
    </w:p>
    <w:p>
      <w:pPr>
        <w:spacing w:line="570" w:lineRule="exact"/>
        <w:ind w:firstLine="640" w:firstLineChars="200"/>
        <w:rPr>
          <w:rFonts w:ascii="楷体" w:hAnsi="楷体" w:eastAsia="楷体" w:cs="楷体"/>
          <w:sz w:val="32"/>
          <w:szCs w:val="32"/>
        </w:rPr>
      </w:pPr>
      <w:r>
        <w:rPr>
          <w:rFonts w:hint="eastAsia" w:ascii="楷体" w:hAnsi="楷体" w:eastAsia="楷体" w:cs="楷体"/>
          <w:sz w:val="32"/>
          <w:szCs w:val="32"/>
        </w:rPr>
        <w:t>（二）评价标准</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A级优：综合评价得分为90分以上；</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B级良：综合评价得分为</w:t>
      </w:r>
      <w:r>
        <w:rPr>
          <w:rFonts w:hint="eastAsia" w:ascii="仿宋" w:hAnsi="仿宋" w:eastAsia="仿宋" w:cs="仿宋"/>
          <w:sz w:val="32"/>
          <w:szCs w:val="32"/>
          <w:lang w:val="en-US"/>
        </w:rPr>
        <w:t>8</w:t>
      </w:r>
      <w:r>
        <w:rPr>
          <w:rFonts w:hint="eastAsia" w:ascii="仿宋" w:hAnsi="仿宋" w:eastAsia="仿宋" w:cs="仿宋"/>
          <w:sz w:val="32"/>
          <w:szCs w:val="32"/>
        </w:rPr>
        <w:t>0分以上90分以下；</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C级中：综合评价得分为60分以上</w:t>
      </w:r>
      <w:r>
        <w:rPr>
          <w:rFonts w:hint="eastAsia" w:ascii="仿宋" w:hAnsi="仿宋" w:eastAsia="仿宋" w:cs="仿宋"/>
          <w:sz w:val="32"/>
          <w:szCs w:val="32"/>
          <w:lang w:val="en-US"/>
        </w:rPr>
        <w:t>8</w:t>
      </w:r>
      <w:r>
        <w:rPr>
          <w:rFonts w:hint="eastAsia" w:ascii="仿宋" w:hAnsi="仿宋" w:eastAsia="仿宋" w:cs="仿宋"/>
          <w:sz w:val="32"/>
          <w:szCs w:val="32"/>
        </w:rPr>
        <w:t>0分以下；</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D级差：综合评价得分为60分以下。</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所称的“以上”含本数，“以下”不含本数。</w:t>
      </w:r>
    </w:p>
    <w:p>
      <w:pPr>
        <w:spacing w:line="570" w:lineRule="exact"/>
        <w:ind w:firstLine="640" w:firstLineChars="200"/>
        <w:rPr>
          <w:rFonts w:ascii="楷体" w:hAnsi="楷体" w:eastAsia="楷体" w:cs="楷体"/>
          <w:sz w:val="32"/>
          <w:szCs w:val="32"/>
        </w:rPr>
      </w:pPr>
      <w:r>
        <w:rPr>
          <w:rFonts w:hint="eastAsia" w:ascii="楷体" w:hAnsi="楷体" w:eastAsia="楷体" w:cs="楷体"/>
          <w:sz w:val="32"/>
          <w:szCs w:val="32"/>
        </w:rPr>
        <w:t>（三）评价依据</w:t>
      </w:r>
    </w:p>
    <w:p>
      <w:pPr>
        <w:pStyle w:val="4"/>
        <w:adjustRightInd w:val="0"/>
        <w:snapToGrid w:val="0"/>
        <w:spacing w:line="570" w:lineRule="exact"/>
        <w:ind w:firstLine="640" w:firstLineChars="200"/>
        <w:rPr>
          <w:rFonts w:ascii="仿宋" w:hAnsi="仿宋" w:eastAsia="仿宋" w:cs="仿宋"/>
        </w:rPr>
      </w:pPr>
      <w:r>
        <w:rPr>
          <w:rFonts w:hint="eastAsia" w:ascii="仿宋" w:hAnsi="仿宋" w:eastAsia="仿宋" w:cs="仿宋"/>
        </w:rPr>
        <w:t>（见附</w:t>
      </w:r>
      <w:r>
        <w:rPr>
          <w:rFonts w:hint="eastAsia" w:ascii="仿宋" w:hAnsi="仿宋" w:eastAsia="仿宋" w:cs="仿宋"/>
          <w:lang w:eastAsia="zh-CN"/>
        </w:rPr>
        <w:t>件</w:t>
      </w:r>
      <w:r>
        <w:rPr>
          <w:rFonts w:hint="eastAsia" w:ascii="仿宋" w:hAnsi="仿宋" w:eastAsia="仿宋" w:cs="仿宋"/>
        </w:rPr>
        <w:t>2、附</w:t>
      </w:r>
      <w:r>
        <w:rPr>
          <w:rFonts w:hint="eastAsia" w:ascii="仿宋" w:hAnsi="仿宋" w:eastAsia="仿宋" w:cs="仿宋"/>
          <w:lang w:eastAsia="zh-CN"/>
        </w:rPr>
        <w:t>件</w:t>
      </w:r>
      <w:r>
        <w:rPr>
          <w:rFonts w:hint="eastAsia" w:ascii="仿宋" w:hAnsi="仿宋" w:eastAsia="仿宋" w:cs="仿宋"/>
        </w:rPr>
        <w:t>3）</w:t>
      </w:r>
    </w:p>
    <w:p>
      <w:pPr>
        <w:spacing w:line="570" w:lineRule="exact"/>
        <w:ind w:firstLine="640" w:firstLineChars="200"/>
        <w:rPr>
          <w:rFonts w:ascii="楷体" w:hAnsi="楷体" w:eastAsia="楷体" w:cs="楷体"/>
          <w:sz w:val="32"/>
          <w:szCs w:val="32"/>
        </w:rPr>
      </w:pPr>
      <w:r>
        <w:rPr>
          <w:rFonts w:hint="eastAsia" w:ascii="楷体" w:hAnsi="楷体" w:eastAsia="楷体" w:cs="楷体"/>
          <w:sz w:val="32"/>
          <w:szCs w:val="32"/>
        </w:rPr>
        <w:t>（四）评价应用</w:t>
      </w:r>
    </w:p>
    <w:p>
      <w:pPr>
        <w:pStyle w:val="4"/>
        <w:adjustRightInd w:val="0"/>
        <w:snapToGrid w:val="0"/>
        <w:spacing w:line="570" w:lineRule="exact"/>
        <w:ind w:firstLine="640" w:firstLineChars="200"/>
        <w:rPr>
          <w:rFonts w:hint="eastAsia" w:ascii="仿宋" w:hAnsi="仿宋" w:eastAsia="仿宋" w:cs="仿宋"/>
          <w:lang w:eastAsia="zh-CN"/>
        </w:rPr>
      </w:pPr>
      <w:r>
        <w:rPr>
          <w:rFonts w:hint="eastAsia" w:ascii="仿宋" w:hAnsi="仿宋" w:eastAsia="仿宋" w:cs="仿宋"/>
        </w:rPr>
        <w:t>1.对信用评价结果为优的建筑业企业，实行激励机制。优先推荐申报创优工程项目和部、省、市级先进企业；减少日常检查和专项检查的频次；在办理行政许可过程中，根据实际情况给予“容缺受理”和“绿色通道”等便利服务措施；扶持企业资质升级、增项</w:t>
      </w:r>
      <w:r>
        <w:rPr>
          <w:rFonts w:hint="eastAsia" w:ascii="仿宋" w:hAnsi="仿宋" w:eastAsia="仿宋" w:cs="仿宋"/>
          <w:lang w:eastAsia="zh-CN"/>
        </w:rPr>
        <w:t>。</w:t>
      </w:r>
    </w:p>
    <w:p>
      <w:pPr>
        <w:pStyle w:val="4"/>
        <w:adjustRightInd w:val="0"/>
        <w:snapToGrid w:val="0"/>
        <w:spacing w:line="570" w:lineRule="exact"/>
        <w:ind w:firstLine="640" w:firstLineChars="200"/>
        <w:rPr>
          <w:rFonts w:hint="eastAsia" w:ascii="仿宋" w:hAnsi="仿宋" w:eastAsia="仿宋" w:cs="仿宋"/>
          <w:lang w:eastAsia="zh-CN"/>
        </w:rPr>
      </w:pPr>
      <w:r>
        <w:rPr>
          <w:rFonts w:hint="eastAsia" w:ascii="仿宋" w:hAnsi="仿宋" w:eastAsia="仿宋" w:cs="仿宋"/>
        </w:rPr>
        <w:t>2.对信用评价结果为良的建筑业企业，实行扶持机制。扶持企业资质升级、增项；企业办理业务可</w:t>
      </w:r>
      <w:r>
        <w:rPr>
          <w:rFonts w:hint="eastAsia" w:ascii="仿宋" w:hAnsi="仿宋" w:eastAsia="仿宋" w:cs="仿宋"/>
          <w:lang w:eastAsia="zh-CN"/>
        </w:rPr>
        <w:t>优</w:t>
      </w:r>
      <w:r>
        <w:rPr>
          <w:rFonts w:hint="eastAsia" w:ascii="仿宋" w:hAnsi="仿宋" w:eastAsia="仿宋" w:cs="仿宋"/>
        </w:rPr>
        <w:t>先</w:t>
      </w:r>
      <w:r>
        <w:rPr>
          <w:rFonts w:hint="eastAsia" w:ascii="仿宋" w:hAnsi="仿宋" w:eastAsia="仿宋" w:cs="仿宋"/>
          <w:lang w:eastAsia="zh-CN"/>
        </w:rPr>
        <w:t>。</w:t>
      </w:r>
    </w:p>
    <w:p>
      <w:pPr>
        <w:pStyle w:val="4"/>
        <w:adjustRightInd w:val="0"/>
        <w:snapToGrid w:val="0"/>
        <w:spacing w:line="570" w:lineRule="exact"/>
        <w:ind w:firstLine="640" w:firstLineChars="200"/>
        <w:rPr>
          <w:rFonts w:hint="eastAsia" w:ascii="仿宋" w:hAnsi="仿宋" w:eastAsia="仿宋" w:cs="仿宋"/>
          <w:lang w:eastAsia="zh-CN"/>
        </w:rPr>
      </w:pPr>
      <w:r>
        <w:rPr>
          <w:rFonts w:hint="eastAsia" w:ascii="仿宋" w:hAnsi="仿宋" w:eastAsia="仿宋" w:cs="仿宋"/>
        </w:rPr>
        <w:t>3.对信用评价结果为中的建筑业企业，实行差别化管理。列入重点监控企业名单，加大对企业监督检查频次；对企业负责人进行约谈，采取加强培训、跟踪检查等方式，促使企业提高信用等级；资质核查时列为重点核查对象</w:t>
      </w:r>
      <w:r>
        <w:rPr>
          <w:rFonts w:hint="eastAsia" w:ascii="仿宋" w:hAnsi="仿宋" w:eastAsia="仿宋" w:cs="仿宋"/>
          <w:lang w:eastAsia="zh-CN"/>
        </w:rPr>
        <w:t>。</w:t>
      </w:r>
    </w:p>
    <w:p>
      <w:pPr>
        <w:pStyle w:val="4"/>
        <w:adjustRightInd w:val="0"/>
        <w:snapToGrid w:val="0"/>
        <w:spacing w:line="570" w:lineRule="exact"/>
        <w:ind w:firstLine="640" w:firstLineChars="200"/>
        <w:rPr>
          <w:rFonts w:ascii="仿宋" w:hAnsi="仿宋" w:eastAsia="仿宋" w:cs="仿宋"/>
        </w:rPr>
      </w:pPr>
      <w:r>
        <w:rPr>
          <w:rFonts w:hint="eastAsia" w:ascii="仿宋" w:hAnsi="仿宋" w:eastAsia="仿宋" w:cs="仿宋"/>
        </w:rPr>
        <w:t>4.对信用评价结果为差的建筑业企业，实行限制机制。列入重点监控企业名单，列为各级执法检查的必查对象；取消其参加各类评先选优资格；重点核查其资质和安全生产许可证条件，对不符合条件的，将按照有关规定予以处理；在行政许可、市场准入、招标投标等方面采取限制或禁止性措施；外地进榆企业，将函告企业注册地建设行政主管部门。</w:t>
      </w:r>
    </w:p>
    <w:p>
      <w:pPr>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三、房地产领域</w:t>
      </w:r>
    </w:p>
    <w:p>
      <w:pPr>
        <w:spacing w:line="570" w:lineRule="exact"/>
        <w:ind w:firstLine="643"/>
        <w:rPr>
          <w:rFonts w:hint="eastAsia" w:ascii="楷体" w:hAnsi="楷体" w:eastAsia="楷体" w:cs="楷体"/>
          <w:b w:val="0"/>
          <w:bCs w:val="0"/>
          <w:sz w:val="32"/>
          <w:szCs w:val="32"/>
        </w:rPr>
      </w:pPr>
      <w:r>
        <w:rPr>
          <w:rFonts w:hint="eastAsia" w:ascii="楷体" w:hAnsi="楷体" w:eastAsia="楷体" w:cs="楷体"/>
          <w:b w:val="0"/>
          <w:bCs w:val="0"/>
          <w:sz w:val="32"/>
          <w:szCs w:val="32"/>
        </w:rPr>
        <w:t>（一）评价等级</w:t>
      </w:r>
    </w:p>
    <w:p>
      <w:pPr>
        <w:spacing w:line="570" w:lineRule="exact"/>
        <w:ind w:firstLine="640"/>
        <w:rPr>
          <w:rFonts w:ascii="仿宋" w:hAnsi="仿宋" w:eastAsia="仿宋" w:cs="仿宋"/>
          <w:sz w:val="32"/>
          <w:szCs w:val="32"/>
        </w:rPr>
      </w:pPr>
      <w:r>
        <w:rPr>
          <w:rFonts w:hint="eastAsia" w:ascii="仿宋" w:hAnsi="仿宋" w:eastAsia="仿宋" w:cs="仿宋"/>
          <w:sz w:val="32"/>
          <w:szCs w:val="32"/>
        </w:rPr>
        <w:t>根据信用综合评价结果评定，分为A级优、B级良、C级中和D级差四个等级。</w:t>
      </w:r>
    </w:p>
    <w:p>
      <w:pPr>
        <w:spacing w:line="570" w:lineRule="exact"/>
        <w:ind w:firstLine="643"/>
        <w:rPr>
          <w:rFonts w:hint="eastAsia" w:ascii="楷体" w:hAnsi="楷体" w:eastAsia="楷体" w:cs="楷体"/>
          <w:b w:val="0"/>
          <w:bCs w:val="0"/>
          <w:sz w:val="32"/>
          <w:szCs w:val="32"/>
        </w:rPr>
      </w:pPr>
      <w:r>
        <w:rPr>
          <w:rFonts w:hint="eastAsia" w:ascii="楷体" w:hAnsi="楷体" w:eastAsia="楷体" w:cs="楷体"/>
          <w:b w:val="0"/>
          <w:bCs w:val="0"/>
          <w:sz w:val="32"/>
          <w:szCs w:val="32"/>
        </w:rPr>
        <w:t>（二）评价标准</w:t>
      </w:r>
    </w:p>
    <w:p>
      <w:pPr>
        <w:spacing w:line="570" w:lineRule="exact"/>
        <w:ind w:firstLine="640"/>
        <w:rPr>
          <w:rFonts w:ascii="仿宋" w:hAnsi="仿宋" w:eastAsia="仿宋" w:cs="仿宋"/>
          <w:sz w:val="32"/>
          <w:szCs w:val="32"/>
        </w:rPr>
      </w:pPr>
      <w:r>
        <w:rPr>
          <w:rFonts w:hint="eastAsia" w:ascii="仿宋" w:hAnsi="仿宋" w:eastAsia="仿宋" w:cs="仿宋"/>
          <w:sz w:val="32"/>
          <w:szCs w:val="32"/>
        </w:rPr>
        <w:t>A级优：综合评价得分为90分以上；</w:t>
      </w:r>
    </w:p>
    <w:p>
      <w:pPr>
        <w:spacing w:line="570" w:lineRule="exact"/>
        <w:ind w:firstLine="640"/>
        <w:rPr>
          <w:rFonts w:ascii="仿宋" w:hAnsi="仿宋" w:eastAsia="仿宋" w:cs="仿宋"/>
          <w:sz w:val="32"/>
          <w:szCs w:val="32"/>
        </w:rPr>
      </w:pPr>
      <w:r>
        <w:rPr>
          <w:rFonts w:hint="eastAsia" w:ascii="仿宋" w:hAnsi="仿宋" w:eastAsia="仿宋" w:cs="仿宋"/>
          <w:sz w:val="32"/>
          <w:szCs w:val="32"/>
        </w:rPr>
        <w:t>B级良：综合评价得分为80分以上90分以下；</w:t>
      </w:r>
    </w:p>
    <w:p>
      <w:pPr>
        <w:spacing w:line="570" w:lineRule="exact"/>
        <w:ind w:firstLine="640"/>
        <w:rPr>
          <w:rFonts w:ascii="仿宋" w:hAnsi="仿宋" w:eastAsia="仿宋" w:cs="仿宋"/>
          <w:sz w:val="32"/>
          <w:szCs w:val="32"/>
        </w:rPr>
      </w:pPr>
      <w:r>
        <w:rPr>
          <w:rFonts w:hint="eastAsia" w:ascii="仿宋" w:hAnsi="仿宋" w:eastAsia="仿宋" w:cs="仿宋"/>
          <w:sz w:val="32"/>
          <w:szCs w:val="32"/>
        </w:rPr>
        <w:t>C级中：综合评价得分为60分以上80分以下；</w:t>
      </w:r>
    </w:p>
    <w:p>
      <w:pPr>
        <w:spacing w:line="570" w:lineRule="exact"/>
        <w:ind w:firstLine="640"/>
        <w:rPr>
          <w:rFonts w:ascii="仿宋" w:hAnsi="仿宋" w:eastAsia="仿宋" w:cs="仿宋"/>
          <w:sz w:val="32"/>
          <w:szCs w:val="32"/>
        </w:rPr>
      </w:pPr>
      <w:r>
        <w:rPr>
          <w:rFonts w:hint="eastAsia" w:ascii="仿宋" w:hAnsi="仿宋" w:eastAsia="仿宋" w:cs="仿宋"/>
          <w:sz w:val="32"/>
          <w:szCs w:val="32"/>
        </w:rPr>
        <w:t>D级差：综合评价得分为60分以下。</w:t>
      </w:r>
    </w:p>
    <w:p>
      <w:pPr>
        <w:spacing w:line="570" w:lineRule="exact"/>
        <w:ind w:firstLine="640"/>
        <w:rPr>
          <w:rFonts w:ascii="仿宋" w:hAnsi="仿宋" w:eastAsia="仿宋" w:cs="仿宋"/>
          <w:sz w:val="32"/>
          <w:szCs w:val="32"/>
        </w:rPr>
      </w:pPr>
      <w:r>
        <w:rPr>
          <w:rFonts w:hint="eastAsia" w:ascii="仿宋" w:hAnsi="仿宋" w:eastAsia="仿宋" w:cs="仿宋"/>
          <w:sz w:val="32"/>
          <w:szCs w:val="32"/>
        </w:rPr>
        <w:t>企业被法院列入失信被执行人名单的、被国家企业信用信息公示系统列为严重违法失信企业、纳税信用等级为D的，评价结果直接为D。</w:t>
      </w:r>
    </w:p>
    <w:p>
      <w:pPr>
        <w:pStyle w:val="2"/>
        <w:numPr>
          <w:ilvl w:val="4"/>
          <w:numId w:val="0"/>
        </w:numPr>
        <w:rPr>
          <w:rFonts w:eastAsia="仿宋"/>
        </w:rPr>
      </w:pPr>
      <w:r>
        <w:rPr>
          <w:rFonts w:hint="eastAsia" w:ascii="仿宋" w:hAnsi="仿宋" w:eastAsia="仿宋" w:cs="仿宋"/>
          <w:sz w:val="32"/>
          <w:szCs w:val="32"/>
        </w:rPr>
        <w:t xml:space="preserve">     </w:t>
      </w:r>
      <w:r>
        <w:rPr>
          <w:rFonts w:hint="eastAsia" w:ascii="仿宋" w:hAnsi="仿宋" w:eastAsia="仿宋" w:cs="仿宋"/>
          <w:b w:val="0"/>
          <w:bCs w:val="0"/>
          <w:kern w:val="0"/>
          <w:sz w:val="32"/>
          <w:szCs w:val="32"/>
        </w:rPr>
        <w:t>所称的“以上”含本数，“以下”不含本数。</w:t>
      </w:r>
    </w:p>
    <w:p>
      <w:pPr>
        <w:spacing w:line="570" w:lineRule="exact"/>
        <w:ind w:firstLine="643"/>
        <w:rPr>
          <w:rFonts w:hint="eastAsia" w:ascii="楷体" w:hAnsi="楷体" w:eastAsia="楷体" w:cs="楷体"/>
          <w:b w:val="0"/>
          <w:bCs w:val="0"/>
          <w:sz w:val="32"/>
          <w:szCs w:val="32"/>
        </w:rPr>
      </w:pPr>
      <w:r>
        <w:rPr>
          <w:rFonts w:hint="eastAsia" w:ascii="楷体" w:hAnsi="楷体" w:eastAsia="楷体" w:cs="楷体"/>
          <w:b w:val="0"/>
          <w:bCs w:val="0"/>
          <w:sz w:val="32"/>
          <w:szCs w:val="32"/>
        </w:rPr>
        <w:t>（三）评价依据</w:t>
      </w:r>
    </w:p>
    <w:p>
      <w:pPr>
        <w:spacing w:line="570" w:lineRule="exact"/>
        <w:ind w:firstLine="643"/>
        <w:rPr>
          <w:rFonts w:ascii="仿宋" w:hAnsi="仿宋" w:eastAsia="仿宋" w:cs="仿宋"/>
          <w:b/>
          <w:bCs/>
          <w:sz w:val="32"/>
          <w:szCs w:val="32"/>
        </w:rPr>
      </w:pPr>
      <w:r>
        <w:rPr>
          <w:rFonts w:hint="eastAsia" w:ascii="仿宋" w:hAnsi="仿宋" w:eastAsia="仿宋" w:cs="仿宋"/>
          <w:b w:val="0"/>
          <w:bCs w:val="0"/>
          <w:sz w:val="32"/>
          <w:szCs w:val="32"/>
        </w:rPr>
        <w:t>（见附件</w:t>
      </w:r>
      <w:r>
        <w:rPr>
          <w:rFonts w:hint="eastAsia" w:ascii="仿宋" w:hAnsi="仿宋" w:eastAsia="仿宋" w:cs="仿宋"/>
          <w:b w:val="0"/>
          <w:bCs w:val="0"/>
          <w:sz w:val="32"/>
          <w:szCs w:val="32"/>
          <w:lang w:val="en-US" w:eastAsia="zh-CN"/>
        </w:rPr>
        <w:t>4、附件5</w:t>
      </w:r>
      <w:r>
        <w:rPr>
          <w:rFonts w:hint="eastAsia" w:ascii="仿宋" w:hAnsi="仿宋" w:eastAsia="仿宋" w:cs="仿宋"/>
          <w:b w:val="0"/>
          <w:bCs w:val="0"/>
          <w:sz w:val="32"/>
          <w:szCs w:val="32"/>
        </w:rPr>
        <w:t>）</w:t>
      </w:r>
    </w:p>
    <w:p>
      <w:pPr>
        <w:spacing w:line="570" w:lineRule="exact"/>
        <w:ind w:firstLine="643"/>
        <w:rPr>
          <w:rFonts w:hint="eastAsia" w:ascii="楷体" w:hAnsi="楷体" w:eastAsia="楷体" w:cs="楷体"/>
          <w:b w:val="0"/>
          <w:bCs/>
          <w:sz w:val="32"/>
          <w:szCs w:val="32"/>
        </w:rPr>
      </w:pPr>
      <w:r>
        <w:rPr>
          <w:rFonts w:hint="eastAsia" w:ascii="楷体" w:hAnsi="楷体" w:eastAsia="楷体" w:cs="楷体"/>
          <w:b w:val="0"/>
          <w:bCs/>
          <w:sz w:val="32"/>
          <w:szCs w:val="32"/>
        </w:rPr>
        <w:t>（四）评价应用</w:t>
      </w:r>
    </w:p>
    <w:p>
      <w:pPr>
        <w:spacing w:line="57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t>（1）对信用考评为A级</w:t>
      </w:r>
      <w:r>
        <w:rPr>
          <w:rFonts w:hint="eastAsia" w:ascii="仿宋" w:hAnsi="仿宋" w:eastAsia="仿宋" w:cs="仿宋"/>
          <w:sz w:val="32"/>
          <w:szCs w:val="32"/>
          <w:lang w:val="en-US"/>
        </w:rPr>
        <w:t>优</w:t>
      </w:r>
      <w:r>
        <w:rPr>
          <w:rFonts w:hint="eastAsia" w:ascii="仿宋" w:hAnsi="仿宋" w:eastAsia="仿宋" w:cs="仿宋"/>
          <w:sz w:val="32"/>
          <w:szCs w:val="32"/>
        </w:rPr>
        <w:t>的企业，对其办理各项审批手续开辟绿色通道，简化程序、提高效率，并应企业要求可提供现场办公；在商品房预售许可、预售资金监管和使用方面，依据国家、省、市有关法律、法规和政策，适度放宽条件，必要时可实行容缺承诺制办理；开发企业在参与国家、省、市等各级各类评比表彰活动中，予以优先推荐；优先提供学习、交流、培训的信息与机会</w:t>
      </w:r>
      <w:r>
        <w:rPr>
          <w:rFonts w:hint="eastAsia" w:ascii="仿宋" w:hAnsi="仿宋" w:eastAsia="仿宋" w:cs="仿宋"/>
          <w:sz w:val="32"/>
          <w:szCs w:val="32"/>
          <w:lang w:eastAsia="zh-CN"/>
        </w:rPr>
        <w:t>。</w:t>
      </w:r>
    </w:p>
    <w:p>
      <w:pPr>
        <w:spacing w:line="57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t>（2）对信用考评为B级良的企业，开辟绿色通道，对其办理各项审批手续简化程序、快审快批；在商品房预售许可、预售资金监管和使用方面，依据国家、省、市有关法律、法规和政策，适度放宽条件；开发企业在参与国家、省、市等各级各类评比表彰活动中，予以优先推荐</w:t>
      </w:r>
      <w:r>
        <w:rPr>
          <w:rFonts w:hint="eastAsia" w:ascii="仿宋" w:hAnsi="仿宋" w:eastAsia="仿宋" w:cs="仿宋"/>
          <w:sz w:val="32"/>
          <w:szCs w:val="32"/>
          <w:lang w:eastAsia="zh-CN"/>
        </w:rPr>
        <w:t>。</w:t>
      </w:r>
    </w:p>
    <w:p>
      <w:pPr>
        <w:pStyle w:val="4"/>
        <w:spacing w:line="57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（3）对信用考评为C级中的企业，加大日常监管力度，适度提高现场检查、抽查比例和频次；商品房预售许可证办理严格执行审批、预售资金使用实行全过程动态监督管理；不推荐参加市级以上的评优评先活动；</w:t>
      </w:r>
    </w:p>
    <w:p>
      <w:pPr>
        <w:pStyle w:val="4"/>
        <w:spacing w:line="570" w:lineRule="exact"/>
        <w:ind w:firstLine="640" w:firstLineChars="200"/>
        <w:jc w:val="both"/>
        <w:rPr>
          <w:rFonts w:ascii="仿宋" w:hAnsi="仿宋" w:eastAsia="仿宋" w:cs="仿宋"/>
        </w:rPr>
      </w:pPr>
      <w:r>
        <w:rPr>
          <w:rFonts w:hint="eastAsia" w:ascii="仿宋" w:hAnsi="仿宋" w:eastAsia="仿宋" w:cs="仿宋"/>
          <w:sz w:val="32"/>
          <w:szCs w:val="32"/>
        </w:rPr>
        <w:t>（4）对信用考评为D级差的企业，列为重点监管对象，加大日常监管力度，提高现场检查、抽查比例和频次，监管时间不少于三年；商品房预售许可证、预售资金使用，不得对其采用容缺承诺制办理，实行全过程动态监督管理；不推荐参加市级以上的评优评先活动。</w:t>
      </w:r>
    </w:p>
    <w:p>
      <w:pPr>
        <w:pStyle w:val="12"/>
        <w:adjustRightInd w:val="0"/>
        <w:snapToGrid w:val="0"/>
        <w:spacing w:line="200" w:lineRule="exact"/>
        <w:ind w:left="4280" w:firstLine="0"/>
        <w:rPr>
          <w:rFonts w:ascii="黑体" w:hAnsi="黑体" w:eastAsia="黑体"/>
          <w:bCs/>
          <w:kern w:val="28"/>
        </w:rPr>
      </w:pPr>
    </w:p>
    <w:p>
      <w:pPr>
        <w:rPr>
          <w:lang w:bidi="he-IL"/>
        </w:rPr>
      </w:pPr>
      <w:bookmarkStart w:id="0" w:name="_Toc381727668"/>
      <w:bookmarkStart w:id="1" w:name="_Toc381693515"/>
      <w:bookmarkStart w:id="2" w:name="_Toc381786571"/>
    </w:p>
    <w:bookmarkEnd w:id="0"/>
    <w:bookmarkEnd w:id="1"/>
    <w:bookmarkEnd w:id="2"/>
    <w:p>
      <w:pPr>
        <w:pStyle w:val="7"/>
        <w:spacing w:line="540" w:lineRule="atLeast"/>
        <w:rPr>
          <w:rFonts w:ascii="黑体" w:hAnsi="黑体" w:eastAsia="黑体" w:cs="黑体"/>
          <w:sz w:val="32"/>
        </w:rPr>
      </w:pPr>
    </w:p>
    <w:p>
      <w:pPr>
        <w:pStyle w:val="7"/>
        <w:spacing w:line="540" w:lineRule="atLeast"/>
        <w:rPr>
          <w:rFonts w:ascii="黑体" w:hAnsi="黑体" w:eastAsia="黑体" w:cs="黑体"/>
          <w:sz w:val="32"/>
        </w:rPr>
      </w:pPr>
    </w:p>
    <w:p>
      <w:pPr>
        <w:pStyle w:val="7"/>
        <w:spacing w:line="540" w:lineRule="atLeast"/>
        <w:rPr>
          <w:rFonts w:ascii="黑体" w:hAnsi="黑体" w:eastAsia="黑体" w:cs="黑体"/>
          <w:sz w:val="32"/>
        </w:rPr>
      </w:pPr>
    </w:p>
    <w:p>
      <w:pPr>
        <w:pStyle w:val="7"/>
        <w:spacing w:line="540" w:lineRule="atLeast"/>
        <w:rPr>
          <w:rFonts w:ascii="黑体" w:hAnsi="黑体" w:eastAsia="黑体" w:cs="黑体"/>
          <w:sz w:val="32"/>
        </w:rPr>
      </w:pPr>
    </w:p>
    <w:p>
      <w:pPr>
        <w:pStyle w:val="7"/>
        <w:spacing w:line="540" w:lineRule="atLeast"/>
        <w:rPr>
          <w:rFonts w:ascii="黑体" w:hAnsi="黑体" w:eastAsia="黑体" w:cs="黑体"/>
          <w:sz w:val="32"/>
        </w:rPr>
      </w:pPr>
    </w:p>
    <w:p>
      <w:pPr>
        <w:pStyle w:val="7"/>
        <w:spacing w:line="540" w:lineRule="atLeast"/>
        <w:rPr>
          <w:rFonts w:ascii="黑体" w:hAnsi="黑体" w:eastAsia="黑体" w:cs="黑体"/>
          <w:sz w:val="32"/>
        </w:rPr>
      </w:pPr>
    </w:p>
    <w:p>
      <w:pPr>
        <w:pStyle w:val="4"/>
        <w:spacing w:line="560" w:lineRule="exact"/>
        <w:rPr>
          <w:rFonts w:ascii="仿宋_GB2312" w:hAnsi="仿宋_GB2312" w:eastAsia="仿宋_GB2312" w:cs="仿宋_GB2312"/>
          <w:spacing w:val="-11"/>
        </w:rPr>
      </w:pPr>
    </w:p>
    <w:p>
      <w:pPr>
        <w:pStyle w:val="4"/>
        <w:spacing w:line="560" w:lineRule="exact"/>
        <w:rPr>
          <w:rFonts w:ascii="仿宋" w:hAnsi="仿宋" w:eastAsia="仿宋" w:cs="仿宋"/>
          <w:spacing w:val="-11"/>
        </w:rPr>
      </w:pPr>
    </w:p>
    <w:p>
      <w:pPr>
        <w:pStyle w:val="4"/>
        <w:spacing w:line="560" w:lineRule="exact"/>
        <w:rPr>
          <w:rFonts w:ascii="仿宋" w:hAnsi="仿宋" w:eastAsia="仿宋" w:cs="仿宋"/>
          <w:spacing w:val="-11"/>
        </w:rPr>
      </w:pPr>
    </w:p>
    <w:p>
      <w:pPr>
        <w:pStyle w:val="4"/>
        <w:spacing w:line="560" w:lineRule="exact"/>
        <w:rPr>
          <w:rFonts w:ascii="仿宋" w:hAnsi="仿宋" w:eastAsia="仿宋" w:cs="仿宋"/>
          <w:spacing w:val="-11"/>
        </w:rPr>
      </w:pPr>
    </w:p>
    <w:p>
      <w:pPr>
        <w:pStyle w:val="4"/>
        <w:spacing w:line="560" w:lineRule="exact"/>
        <w:rPr>
          <w:rFonts w:ascii="仿宋" w:hAnsi="仿宋" w:eastAsia="仿宋" w:cs="仿宋"/>
          <w:spacing w:val="-11"/>
        </w:rPr>
      </w:pPr>
    </w:p>
    <w:p>
      <w:pPr>
        <w:pStyle w:val="4"/>
        <w:spacing w:line="560" w:lineRule="exact"/>
        <w:rPr>
          <w:rFonts w:ascii="仿宋" w:hAnsi="仿宋" w:eastAsia="仿宋" w:cs="仿宋"/>
          <w:spacing w:val="-11"/>
        </w:rPr>
      </w:pPr>
    </w:p>
    <w:p>
      <w:pPr>
        <w:pStyle w:val="4"/>
        <w:spacing w:line="560" w:lineRule="exact"/>
        <w:rPr>
          <w:rFonts w:ascii="仿宋" w:hAnsi="仿宋" w:eastAsia="仿宋" w:cs="仿宋"/>
          <w:spacing w:val="-11"/>
        </w:rPr>
      </w:pPr>
    </w:p>
    <w:p>
      <w:pPr>
        <w:pStyle w:val="4"/>
        <w:spacing w:line="560" w:lineRule="exact"/>
        <w:rPr>
          <w:rFonts w:ascii="仿宋" w:hAnsi="仿宋" w:eastAsia="仿宋" w:cs="仿宋"/>
          <w:spacing w:val="-11"/>
        </w:rPr>
      </w:pPr>
      <w:r>
        <w:rPr>
          <w:rFonts w:hint="eastAsia" w:ascii="仿宋" w:hAnsi="仿宋" w:eastAsia="仿宋" w:cs="仿宋"/>
          <w:b/>
          <w:bCs/>
          <w:spacing w:val="-11"/>
        </w:rPr>
        <w:t>附件1</w:t>
      </w:r>
    </w:p>
    <w:p>
      <w:pPr>
        <w:pStyle w:val="7"/>
        <w:spacing w:before="0" w:beforeAutospacing="0" w:afterLines="50" w:afterAutospacing="0" w:line="570" w:lineRule="exact"/>
        <w:jc w:val="center"/>
        <w:rPr>
          <w:rFonts w:ascii="黑体" w:hAnsi="黑体" w:eastAsia="黑体" w:cs="黑体"/>
          <w:bCs/>
          <w:sz w:val="32"/>
        </w:rPr>
      </w:pPr>
      <w:r>
        <w:rPr>
          <w:rFonts w:hint="eastAsia" w:ascii="黑体" w:hAnsi="黑体" w:eastAsia="黑体" w:cs="黑体"/>
          <w:bCs/>
          <w:sz w:val="32"/>
        </w:rPr>
        <w:t>榆林市勘察设计领域具体评分标准</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852"/>
        <w:gridCol w:w="4176"/>
        <w:gridCol w:w="2668"/>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6" w:type="pct"/>
            <w:vAlign w:val="center"/>
          </w:tcPr>
          <w:p>
            <w:pPr>
              <w:pStyle w:val="4"/>
              <w:adjustRightInd w:val="0"/>
              <w:snapToGrid w:val="0"/>
              <w:spacing w:line="340" w:lineRule="exact"/>
              <w:jc w:val="center"/>
              <w:rPr>
                <w:rFonts w:ascii="仿宋" w:hAnsi="仿宋" w:eastAsia="仿宋" w:cs="仿宋"/>
                <w:b/>
                <w:bCs/>
                <w:sz w:val="28"/>
                <w:szCs w:val="28"/>
              </w:rPr>
            </w:pPr>
            <w:bookmarkStart w:id="3" w:name="认定及评价标准2018-11-27"/>
            <w:bookmarkEnd w:id="3"/>
            <w:r>
              <w:rPr>
                <w:rFonts w:hint="eastAsia" w:ascii="仿宋" w:hAnsi="仿宋" w:eastAsia="仿宋" w:cs="仿宋"/>
                <w:b/>
                <w:bCs/>
                <w:sz w:val="28"/>
                <w:szCs w:val="28"/>
              </w:rPr>
              <w:t>类型</w:t>
            </w:r>
          </w:p>
        </w:tc>
        <w:tc>
          <w:tcPr>
            <w:tcW w:w="470" w:type="pct"/>
            <w:vAlign w:val="center"/>
          </w:tcPr>
          <w:p>
            <w:pPr>
              <w:pStyle w:val="4"/>
              <w:adjustRightInd w:val="0"/>
              <w:snapToGrid w:val="0"/>
              <w:spacing w:line="340" w:lineRule="exac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304" w:type="pct"/>
            <w:vAlign w:val="center"/>
          </w:tcPr>
          <w:p>
            <w:pPr>
              <w:pStyle w:val="4"/>
              <w:adjustRightInd w:val="0"/>
              <w:snapToGrid w:val="0"/>
              <w:spacing w:line="340" w:lineRule="exact"/>
              <w:jc w:val="center"/>
              <w:rPr>
                <w:rFonts w:ascii="仿宋" w:hAnsi="仿宋" w:eastAsia="仿宋" w:cs="仿宋"/>
                <w:b/>
                <w:bCs/>
                <w:sz w:val="28"/>
                <w:szCs w:val="28"/>
              </w:rPr>
            </w:pPr>
            <w:r>
              <w:rPr>
                <w:rFonts w:hint="eastAsia" w:ascii="仿宋" w:hAnsi="仿宋" w:eastAsia="仿宋" w:cs="仿宋"/>
                <w:b/>
                <w:bCs/>
                <w:sz w:val="28"/>
                <w:szCs w:val="28"/>
              </w:rPr>
              <w:t>认定内容</w:t>
            </w:r>
          </w:p>
        </w:tc>
        <w:tc>
          <w:tcPr>
            <w:tcW w:w="1472" w:type="pct"/>
            <w:vAlign w:val="center"/>
          </w:tcPr>
          <w:p>
            <w:pPr>
              <w:pStyle w:val="4"/>
              <w:adjustRightInd w:val="0"/>
              <w:snapToGrid w:val="0"/>
              <w:spacing w:line="340" w:lineRule="exact"/>
              <w:jc w:val="center"/>
              <w:rPr>
                <w:rFonts w:ascii="仿宋" w:hAnsi="仿宋" w:eastAsia="仿宋" w:cs="仿宋"/>
                <w:b/>
                <w:bCs/>
                <w:sz w:val="28"/>
                <w:szCs w:val="28"/>
              </w:rPr>
            </w:pPr>
            <w:r>
              <w:rPr>
                <w:rFonts w:hint="eastAsia" w:ascii="仿宋" w:hAnsi="仿宋" w:eastAsia="仿宋" w:cs="仿宋"/>
                <w:b/>
                <w:bCs/>
                <w:sz w:val="28"/>
                <w:szCs w:val="28"/>
              </w:rPr>
              <w:t>分值记录</w:t>
            </w:r>
          </w:p>
        </w:tc>
        <w:tc>
          <w:tcPr>
            <w:tcW w:w="386" w:type="pct"/>
            <w:vAlign w:val="center"/>
          </w:tcPr>
          <w:p>
            <w:pPr>
              <w:pStyle w:val="4"/>
              <w:adjustRightInd w:val="0"/>
              <w:snapToGrid w:val="0"/>
              <w:spacing w:line="340" w:lineRule="exact"/>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restart"/>
            <w:vAlign w:val="center"/>
          </w:tcPr>
          <w:p>
            <w:pPr>
              <w:pStyle w:val="4"/>
              <w:adjustRightInd w:val="0"/>
              <w:snapToGrid w:val="0"/>
              <w:spacing w:line="340" w:lineRule="exact"/>
              <w:jc w:val="center"/>
              <w:rPr>
                <w:rFonts w:ascii="仿宋" w:hAnsi="仿宋" w:eastAsia="仿宋" w:cs="仿宋"/>
                <w:sz w:val="24"/>
                <w:szCs w:val="24"/>
              </w:rPr>
            </w:pPr>
          </w:p>
          <w:p>
            <w:pPr>
              <w:pStyle w:val="4"/>
              <w:adjustRightInd w:val="0"/>
              <w:snapToGrid w:val="0"/>
              <w:spacing w:line="340" w:lineRule="exact"/>
              <w:jc w:val="center"/>
              <w:rPr>
                <w:rFonts w:ascii="仿宋" w:hAnsi="仿宋" w:eastAsia="仿宋" w:cs="仿宋"/>
                <w:sz w:val="24"/>
                <w:szCs w:val="24"/>
              </w:rPr>
            </w:pPr>
          </w:p>
          <w:p>
            <w:pPr>
              <w:pStyle w:val="4"/>
              <w:adjustRightInd w:val="0"/>
              <w:snapToGrid w:val="0"/>
              <w:spacing w:line="340" w:lineRule="exact"/>
              <w:jc w:val="center"/>
              <w:rPr>
                <w:rFonts w:ascii="仿宋" w:hAnsi="仿宋" w:eastAsia="仿宋" w:cs="仿宋"/>
                <w:sz w:val="24"/>
                <w:szCs w:val="24"/>
              </w:rPr>
            </w:pPr>
          </w:p>
          <w:p>
            <w:pPr>
              <w:pStyle w:val="4"/>
              <w:adjustRightInd w:val="0"/>
              <w:snapToGrid w:val="0"/>
              <w:spacing w:line="340" w:lineRule="exact"/>
              <w:jc w:val="center"/>
              <w:rPr>
                <w:rFonts w:ascii="仿宋" w:hAnsi="仿宋" w:eastAsia="仿宋" w:cs="仿宋"/>
                <w:sz w:val="24"/>
                <w:szCs w:val="24"/>
              </w:rPr>
            </w:pPr>
          </w:p>
          <w:p>
            <w:pPr>
              <w:pStyle w:val="4"/>
              <w:adjustRightInd w:val="0"/>
              <w:snapToGrid w:val="0"/>
              <w:spacing w:line="340" w:lineRule="exact"/>
              <w:jc w:val="center"/>
              <w:rPr>
                <w:rFonts w:ascii="仿宋" w:hAnsi="仿宋" w:eastAsia="仿宋" w:cs="仿宋"/>
                <w:sz w:val="24"/>
                <w:szCs w:val="24"/>
              </w:rPr>
            </w:pPr>
          </w:p>
          <w:p>
            <w:pPr>
              <w:pStyle w:val="4"/>
              <w:adjustRightInd w:val="0"/>
              <w:snapToGrid w:val="0"/>
              <w:spacing w:line="340" w:lineRule="exact"/>
              <w:jc w:val="center"/>
              <w:rPr>
                <w:rFonts w:ascii="仿宋" w:hAnsi="仿宋" w:eastAsia="仿宋" w:cs="仿宋"/>
                <w:sz w:val="24"/>
                <w:szCs w:val="24"/>
              </w:rPr>
            </w:pPr>
          </w:p>
          <w:p>
            <w:pPr>
              <w:pStyle w:val="4"/>
              <w:adjustRightInd w:val="0"/>
              <w:snapToGrid w:val="0"/>
              <w:spacing w:line="340" w:lineRule="exact"/>
              <w:jc w:val="center"/>
              <w:rPr>
                <w:rFonts w:ascii="仿宋" w:hAnsi="仿宋" w:eastAsia="仿宋" w:cs="仿宋"/>
                <w:sz w:val="24"/>
                <w:szCs w:val="24"/>
              </w:rPr>
            </w:pPr>
          </w:p>
          <w:p>
            <w:pPr>
              <w:pStyle w:val="4"/>
              <w:adjustRightInd w:val="0"/>
              <w:snapToGrid w:val="0"/>
              <w:spacing w:line="340" w:lineRule="exact"/>
              <w:jc w:val="center"/>
              <w:rPr>
                <w:rFonts w:ascii="仿宋" w:hAnsi="仿宋" w:eastAsia="仿宋" w:cs="仿宋"/>
                <w:sz w:val="24"/>
                <w:szCs w:val="24"/>
              </w:rPr>
            </w:pPr>
          </w:p>
          <w:p>
            <w:pPr>
              <w:pStyle w:val="4"/>
              <w:adjustRightInd w:val="0"/>
              <w:snapToGrid w:val="0"/>
              <w:spacing w:line="340" w:lineRule="exact"/>
              <w:jc w:val="center"/>
              <w:rPr>
                <w:rFonts w:ascii="仿宋" w:hAnsi="仿宋" w:eastAsia="仿宋" w:cs="仿宋"/>
                <w:sz w:val="24"/>
                <w:szCs w:val="24"/>
              </w:rPr>
            </w:pP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lang w:val="en-US"/>
              </w:rPr>
              <w:t>加</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lang w:val="en-US"/>
              </w:rPr>
              <w:t>分</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lang w:val="en-US"/>
              </w:rPr>
              <w:t>项</w:t>
            </w:r>
          </w:p>
          <w:p>
            <w:pPr>
              <w:pStyle w:val="4"/>
              <w:adjustRightInd w:val="0"/>
              <w:snapToGrid w:val="0"/>
              <w:spacing w:line="340" w:lineRule="exact"/>
              <w:jc w:val="center"/>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jc w:val="center"/>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jc w:val="center"/>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1</w:t>
            </w:r>
          </w:p>
        </w:tc>
        <w:tc>
          <w:tcPr>
            <w:tcW w:w="2304" w:type="pct"/>
            <w:vAlign w:val="center"/>
          </w:tcPr>
          <w:p>
            <w:pPr>
              <w:pStyle w:val="4"/>
              <w:adjustRightInd w:val="0"/>
              <w:snapToGrid w:val="0"/>
              <w:spacing w:line="340" w:lineRule="exact"/>
              <w:rPr>
                <w:rFonts w:ascii="仿宋" w:hAnsi="仿宋" w:eastAsia="仿宋" w:cs="仿宋"/>
                <w:sz w:val="24"/>
                <w:szCs w:val="24"/>
              </w:rPr>
            </w:pPr>
            <w:r>
              <w:rPr>
                <w:rFonts w:hint="eastAsia" w:ascii="仿宋" w:hAnsi="仿宋" w:eastAsia="仿宋" w:cs="仿宋"/>
                <w:sz w:val="24"/>
                <w:szCs w:val="24"/>
              </w:rPr>
              <w:t>纳入全国或省级相关试点企业名单；推广使用先进技术示范工程，申请自主知识产权、专利技术， 出版专著</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3分/项</w:t>
            </w:r>
          </w:p>
        </w:tc>
        <w:tc>
          <w:tcPr>
            <w:tcW w:w="386" w:type="pct"/>
            <w:vAlign w:val="center"/>
          </w:tcPr>
          <w:p>
            <w:pPr>
              <w:pStyle w:val="4"/>
              <w:adjustRightInd w:val="0"/>
              <w:snapToGrid w:val="0"/>
              <w:spacing w:line="3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jc w:val="center"/>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w:t>
            </w:r>
          </w:p>
        </w:tc>
        <w:tc>
          <w:tcPr>
            <w:tcW w:w="2304" w:type="pct"/>
            <w:vAlign w:val="center"/>
          </w:tcPr>
          <w:p>
            <w:pPr>
              <w:pStyle w:val="4"/>
              <w:adjustRightInd w:val="0"/>
              <w:snapToGrid w:val="0"/>
              <w:spacing w:line="340" w:lineRule="exact"/>
              <w:rPr>
                <w:rFonts w:ascii="仿宋" w:hAnsi="仿宋" w:eastAsia="仿宋" w:cs="仿宋"/>
                <w:sz w:val="24"/>
                <w:szCs w:val="24"/>
              </w:rPr>
            </w:pPr>
            <w:r>
              <w:rPr>
                <w:rFonts w:hint="eastAsia" w:ascii="仿宋" w:hAnsi="仿宋" w:eastAsia="仿宋" w:cs="仿宋"/>
                <w:sz w:val="24"/>
                <w:szCs w:val="24"/>
              </w:rPr>
              <w:t>获各级优秀工程勘察设计奖</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国家级5分/项</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省级3分/项</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市级2分/项</w:t>
            </w:r>
          </w:p>
        </w:tc>
        <w:tc>
          <w:tcPr>
            <w:tcW w:w="386" w:type="pct"/>
            <w:vAlign w:val="center"/>
          </w:tcPr>
          <w:p>
            <w:pPr>
              <w:pStyle w:val="4"/>
              <w:adjustRightInd w:val="0"/>
              <w:snapToGrid w:val="0"/>
              <w:spacing w:line="3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jc w:val="center"/>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3</w:t>
            </w:r>
          </w:p>
        </w:tc>
        <w:tc>
          <w:tcPr>
            <w:tcW w:w="2304" w:type="pct"/>
            <w:vAlign w:val="center"/>
          </w:tcPr>
          <w:p>
            <w:pPr>
              <w:pStyle w:val="4"/>
              <w:adjustRightInd w:val="0"/>
              <w:snapToGrid w:val="0"/>
              <w:spacing w:line="340" w:lineRule="exact"/>
              <w:rPr>
                <w:rFonts w:ascii="仿宋" w:hAnsi="仿宋" w:eastAsia="仿宋" w:cs="仿宋"/>
                <w:sz w:val="24"/>
                <w:szCs w:val="24"/>
              </w:rPr>
            </w:pPr>
            <w:r>
              <w:rPr>
                <w:rFonts w:hint="eastAsia" w:ascii="仿宋" w:hAnsi="仿宋" w:eastAsia="仿宋" w:cs="仿宋"/>
                <w:sz w:val="24"/>
                <w:szCs w:val="24"/>
              </w:rPr>
              <w:t>通过质量体系 ISO9000 系列、环境管理体系ISO14000 系列、健康安全管理体系 GB/T28000 系列认证</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3分/项</w:t>
            </w:r>
          </w:p>
        </w:tc>
        <w:tc>
          <w:tcPr>
            <w:tcW w:w="386" w:type="pct"/>
            <w:vAlign w:val="center"/>
          </w:tcPr>
          <w:p>
            <w:pPr>
              <w:pStyle w:val="4"/>
              <w:adjustRightInd w:val="0"/>
              <w:snapToGrid w:val="0"/>
              <w:spacing w:line="3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jc w:val="center"/>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4</w:t>
            </w:r>
          </w:p>
        </w:tc>
        <w:tc>
          <w:tcPr>
            <w:tcW w:w="2304" w:type="pct"/>
            <w:vAlign w:val="center"/>
          </w:tcPr>
          <w:p>
            <w:pPr>
              <w:pStyle w:val="4"/>
              <w:adjustRightInd w:val="0"/>
              <w:snapToGrid w:val="0"/>
              <w:spacing w:line="340" w:lineRule="exact"/>
              <w:rPr>
                <w:rFonts w:ascii="仿宋" w:hAnsi="仿宋" w:eastAsia="仿宋" w:cs="仿宋"/>
                <w:sz w:val="24"/>
                <w:szCs w:val="24"/>
              </w:rPr>
            </w:pPr>
            <w:r>
              <w:rPr>
                <w:rFonts w:hint="eastAsia" w:ascii="仿宋" w:hAnsi="仿宋" w:eastAsia="仿宋" w:cs="仿宋"/>
                <w:sz w:val="24"/>
                <w:szCs w:val="24"/>
              </w:rPr>
              <w:t>获各级表彰的诚信企业及重合同守信用企业</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省级3分/项</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市级2分/项</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县级1分/项</w:t>
            </w:r>
          </w:p>
        </w:tc>
        <w:tc>
          <w:tcPr>
            <w:tcW w:w="386" w:type="pct"/>
            <w:vAlign w:val="center"/>
          </w:tcPr>
          <w:p>
            <w:pPr>
              <w:pStyle w:val="4"/>
              <w:adjustRightInd w:val="0"/>
              <w:snapToGrid w:val="0"/>
              <w:spacing w:line="3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Merge w:val="continue"/>
            <w:vAlign w:val="center"/>
          </w:tcPr>
          <w:p>
            <w:pPr>
              <w:pStyle w:val="4"/>
              <w:adjustRightInd w:val="0"/>
              <w:snapToGrid w:val="0"/>
              <w:spacing w:line="340" w:lineRule="exact"/>
              <w:jc w:val="center"/>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5</w:t>
            </w:r>
          </w:p>
        </w:tc>
        <w:tc>
          <w:tcPr>
            <w:tcW w:w="2304" w:type="pct"/>
            <w:vAlign w:val="center"/>
          </w:tcPr>
          <w:p>
            <w:pPr>
              <w:pStyle w:val="4"/>
              <w:adjustRightInd w:val="0"/>
              <w:snapToGrid w:val="0"/>
              <w:spacing w:line="340" w:lineRule="exact"/>
              <w:rPr>
                <w:rFonts w:ascii="仿宋" w:hAnsi="仿宋" w:eastAsia="仿宋" w:cs="仿宋"/>
                <w:sz w:val="24"/>
                <w:szCs w:val="24"/>
              </w:rPr>
            </w:pPr>
            <w:r>
              <w:rPr>
                <w:rFonts w:hint="eastAsia" w:ascii="仿宋" w:hAnsi="仿宋" w:eastAsia="仿宋" w:cs="仿宋"/>
                <w:sz w:val="24"/>
                <w:szCs w:val="24"/>
              </w:rPr>
              <w:t>参与和支持社会公益事业</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 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jc w:val="center"/>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6</w:t>
            </w:r>
          </w:p>
        </w:tc>
        <w:tc>
          <w:tcPr>
            <w:tcW w:w="2304" w:type="pct"/>
            <w:vAlign w:val="center"/>
          </w:tcPr>
          <w:p>
            <w:pPr>
              <w:pStyle w:val="4"/>
              <w:adjustRightInd w:val="0"/>
              <w:snapToGrid w:val="0"/>
              <w:spacing w:line="340" w:lineRule="exact"/>
              <w:rPr>
                <w:rFonts w:ascii="仿宋" w:hAnsi="仿宋" w:eastAsia="仿宋" w:cs="仿宋"/>
                <w:sz w:val="24"/>
                <w:szCs w:val="24"/>
              </w:rPr>
            </w:pPr>
            <w:r>
              <w:rPr>
                <w:rFonts w:hint="eastAsia" w:ascii="仿宋" w:hAnsi="仿宋" w:eastAsia="仿宋" w:cs="仿宋"/>
                <w:sz w:val="24"/>
                <w:szCs w:val="24"/>
              </w:rPr>
              <w:t>受各级人民政府（或城乡建设主管部门）表彰或授予荣誉称号</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省政府5分/次</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市政府4分/次</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县区政府3分/次</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lang w:val="en-US"/>
              </w:rPr>
              <w:t>省</w:t>
            </w:r>
            <w:r>
              <w:rPr>
                <w:rFonts w:hint="eastAsia" w:ascii="仿宋" w:hAnsi="仿宋" w:eastAsia="仿宋" w:cs="仿宋"/>
                <w:sz w:val="24"/>
                <w:szCs w:val="24"/>
              </w:rPr>
              <w:t>级主管部门</w:t>
            </w:r>
            <w:r>
              <w:rPr>
                <w:rFonts w:hint="eastAsia" w:ascii="仿宋" w:hAnsi="仿宋" w:eastAsia="仿宋" w:cs="仿宋"/>
                <w:sz w:val="24"/>
                <w:szCs w:val="24"/>
                <w:lang w:val="en-US"/>
              </w:rPr>
              <w:t>4</w:t>
            </w:r>
            <w:r>
              <w:rPr>
                <w:rFonts w:hint="eastAsia" w:ascii="仿宋" w:hAnsi="仿宋" w:eastAsia="仿宋" w:cs="仿宋"/>
                <w:sz w:val="24"/>
                <w:szCs w:val="24"/>
              </w:rPr>
              <w:t>分/次</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市级主管部门3分/次</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县区级主管部门2分/次</w:t>
            </w:r>
          </w:p>
        </w:tc>
        <w:tc>
          <w:tcPr>
            <w:tcW w:w="386" w:type="pct"/>
            <w:vAlign w:val="center"/>
          </w:tcPr>
          <w:p>
            <w:pPr>
              <w:pStyle w:val="4"/>
              <w:adjustRightInd w:val="0"/>
              <w:snapToGrid w:val="0"/>
              <w:spacing w:line="3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66" w:type="pct"/>
            <w:vMerge w:val="continue"/>
            <w:vAlign w:val="center"/>
          </w:tcPr>
          <w:p>
            <w:pPr>
              <w:pStyle w:val="4"/>
              <w:adjustRightInd w:val="0"/>
              <w:snapToGrid w:val="0"/>
              <w:spacing w:line="340" w:lineRule="exact"/>
              <w:jc w:val="center"/>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7</w:t>
            </w:r>
          </w:p>
        </w:tc>
        <w:tc>
          <w:tcPr>
            <w:tcW w:w="2304" w:type="pct"/>
            <w:vAlign w:val="center"/>
          </w:tcPr>
          <w:p>
            <w:pPr>
              <w:pStyle w:val="4"/>
              <w:adjustRightInd w:val="0"/>
              <w:snapToGrid w:val="0"/>
              <w:spacing w:line="340" w:lineRule="exact"/>
              <w:rPr>
                <w:rFonts w:ascii="仿宋" w:hAnsi="仿宋" w:eastAsia="仿宋" w:cs="仿宋"/>
                <w:sz w:val="24"/>
                <w:szCs w:val="24"/>
              </w:rPr>
            </w:pPr>
            <w:r>
              <w:rPr>
                <w:rFonts w:hint="eastAsia" w:ascii="仿宋" w:hAnsi="仿宋" w:eastAsia="仿宋" w:cs="仿宋"/>
                <w:sz w:val="24"/>
                <w:szCs w:val="24"/>
                <w:lang w:val="en-US"/>
              </w:rPr>
              <w:t>获</w:t>
            </w:r>
            <w:r>
              <w:rPr>
                <w:rFonts w:hint="eastAsia" w:ascii="仿宋" w:hAnsi="仿宋" w:eastAsia="仿宋" w:cs="仿宋"/>
                <w:sz w:val="24"/>
                <w:szCs w:val="24"/>
              </w:rPr>
              <w:t>勘察、设计大师，优秀勘察设计师、勘察设计行业专家等称号</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国家级3分/人</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省级2分/人</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市级1分/人</w:t>
            </w:r>
          </w:p>
        </w:tc>
        <w:tc>
          <w:tcPr>
            <w:tcW w:w="386" w:type="pct"/>
            <w:vAlign w:val="center"/>
          </w:tcPr>
          <w:p>
            <w:pPr>
              <w:pStyle w:val="4"/>
              <w:adjustRightInd w:val="0"/>
              <w:snapToGrid w:val="0"/>
              <w:spacing w:line="3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restart"/>
            <w:vAlign w:val="center"/>
          </w:tcPr>
          <w:p>
            <w:pPr>
              <w:pStyle w:val="4"/>
              <w:adjustRightInd w:val="0"/>
              <w:snapToGrid w:val="0"/>
              <w:spacing w:line="340" w:lineRule="exact"/>
              <w:jc w:val="center"/>
              <w:rPr>
                <w:rFonts w:ascii="仿宋" w:hAnsi="仿宋" w:eastAsia="仿宋" w:cs="仿宋"/>
                <w:sz w:val="24"/>
                <w:szCs w:val="24"/>
              </w:rPr>
            </w:pPr>
          </w:p>
          <w:p>
            <w:pPr>
              <w:pStyle w:val="4"/>
              <w:adjustRightInd w:val="0"/>
              <w:snapToGrid w:val="0"/>
              <w:spacing w:line="340" w:lineRule="exact"/>
              <w:jc w:val="center"/>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扣</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分</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项</w:t>
            </w: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rPr>
                <w:rFonts w:ascii="仿宋" w:hAnsi="仿宋" w:eastAsia="仿宋" w:cs="仿宋"/>
                <w:sz w:val="24"/>
                <w:szCs w:val="24"/>
              </w:rPr>
            </w:pP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lang w:val="en-US"/>
              </w:rPr>
              <w:t>扣</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lang w:val="en-US"/>
              </w:rPr>
              <w:t>分</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lang w:val="en-US"/>
              </w:rPr>
              <w:t>项</w:t>
            </w: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8</w:t>
            </w:r>
          </w:p>
        </w:tc>
        <w:tc>
          <w:tcPr>
            <w:tcW w:w="2304" w:type="pct"/>
            <w:vAlign w:val="center"/>
          </w:tcPr>
          <w:p>
            <w:pPr>
              <w:pStyle w:val="4"/>
              <w:adjustRightInd w:val="0"/>
              <w:snapToGrid w:val="0"/>
              <w:spacing w:line="340" w:lineRule="exact"/>
              <w:rPr>
                <w:rFonts w:ascii="仿宋" w:hAnsi="仿宋" w:eastAsia="仿宋" w:cs="仿宋"/>
                <w:sz w:val="24"/>
                <w:szCs w:val="24"/>
              </w:rPr>
            </w:pPr>
            <w:r>
              <w:rPr>
                <w:rFonts w:hint="eastAsia" w:ascii="仿宋" w:hAnsi="仿宋" w:eastAsia="仿宋" w:cs="仿宋"/>
                <w:sz w:val="24"/>
                <w:szCs w:val="24"/>
              </w:rPr>
              <w:t>未取得资质证书承揽工程，或超越本单位资质等级承揽业务</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9</w:t>
            </w:r>
          </w:p>
        </w:tc>
        <w:tc>
          <w:tcPr>
            <w:tcW w:w="2304" w:type="pct"/>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未经省、自治区、直辖市人民政府城乡建设主管部门核准，擅自从事施工图审查业务活动的或超越核准的等级和范围从事施工图审查业务活动</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图审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10</w:t>
            </w:r>
          </w:p>
        </w:tc>
        <w:tc>
          <w:tcPr>
            <w:tcW w:w="2304" w:type="pct"/>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企业未给员工缴纳社会保险</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0.5分/人</w:t>
            </w:r>
          </w:p>
        </w:tc>
        <w:tc>
          <w:tcPr>
            <w:tcW w:w="386" w:type="pct"/>
            <w:vAlign w:val="center"/>
          </w:tcPr>
          <w:p>
            <w:pPr>
              <w:pStyle w:val="4"/>
              <w:adjustRightInd w:val="0"/>
              <w:snapToGrid w:val="0"/>
              <w:spacing w:line="3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11</w:t>
            </w:r>
          </w:p>
        </w:tc>
        <w:tc>
          <w:tcPr>
            <w:tcW w:w="2304" w:type="pct"/>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被列入人民法院失信被执行企业名单</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3分/起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12</w:t>
            </w:r>
          </w:p>
        </w:tc>
        <w:tc>
          <w:tcPr>
            <w:tcW w:w="2304" w:type="pct"/>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受到行政机关行政处罚和通报批评</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13</w:t>
            </w:r>
          </w:p>
        </w:tc>
        <w:tc>
          <w:tcPr>
            <w:tcW w:w="2304" w:type="pct"/>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未按照工程建设强制性标准进行勘察、设计</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3分/条</w:t>
            </w:r>
          </w:p>
        </w:tc>
        <w:tc>
          <w:tcPr>
            <w:tcW w:w="386"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14</w:t>
            </w:r>
          </w:p>
        </w:tc>
        <w:tc>
          <w:tcPr>
            <w:tcW w:w="2304" w:type="pct"/>
            <w:vAlign w:val="center"/>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弄虚作假、提供虚假成果资料</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1分/起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15</w:t>
            </w:r>
          </w:p>
        </w:tc>
        <w:tc>
          <w:tcPr>
            <w:tcW w:w="2304" w:type="pct"/>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原始记录不按照规定记录或者记录不完整</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1分/起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16</w:t>
            </w:r>
          </w:p>
        </w:tc>
        <w:tc>
          <w:tcPr>
            <w:tcW w:w="2304" w:type="pct"/>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勘察文件没有责任人签字或者签字不全</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1分/起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17</w:t>
            </w:r>
          </w:p>
        </w:tc>
        <w:tc>
          <w:tcPr>
            <w:tcW w:w="2304" w:type="pct"/>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未根据勘察成果文件进行工程设计</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18</w:t>
            </w:r>
          </w:p>
        </w:tc>
        <w:tc>
          <w:tcPr>
            <w:tcW w:w="2304" w:type="pct"/>
            <w:vAlign w:val="center"/>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使用不符合条件</w:t>
            </w:r>
            <w:r>
              <w:rPr>
                <w:rFonts w:hint="eastAsia" w:ascii="仿宋" w:hAnsi="仿宋" w:eastAsia="仿宋" w:cs="仿宋"/>
                <w:sz w:val="24"/>
                <w:lang w:val="en-US"/>
              </w:rPr>
              <w:t>的</w:t>
            </w:r>
            <w:r>
              <w:rPr>
                <w:rFonts w:hint="eastAsia" w:ascii="仿宋" w:hAnsi="仿宋" w:eastAsia="仿宋" w:cs="仿宋"/>
                <w:sz w:val="24"/>
              </w:rPr>
              <w:t>审查人员</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0.5分/人</w:t>
            </w:r>
          </w:p>
        </w:tc>
        <w:tc>
          <w:tcPr>
            <w:tcW w:w="386"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图审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19</w:t>
            </w:r>
          </w:p>
        </w:tc>
        <w:tc>
          <w:tcPr>
            <w:tcW w:w="2304" w:type="pct"/>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未按规定在审查合格书和施工图上签字盖章</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图审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20</w:t>
            </w:r>
          </w:p>
        </w:tc>
        <w:tc>
          <w:tcPr>
            <w:tcW w:w="2304" w:type="pct"/>
            <w:vAlign w:val="center"/>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未按规定的审查内容进行审查</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图审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21</w:t>
            </w:r>
          </w:p>
        </w:tc>
        <w:tc>
          <w:tcPr>
            <w:tcW w:w="2304" w:type="pct"/>
            <w:vAlign w:val="center"/>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审查机构出具虚假审查合格书</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图审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22</w:t>
            </w:r>
          </w:p>
        </w:tc>
        <w:tc>
          <w:tcPr>
            <w:tcW w:w="2304" w:type="pct"/>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施工图经审查合格后，仍有违反法律、法规和工程建设强制性标准</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3分/条</w:t>
            </w:r>
          </w:p>
        </w:tc>
        <w:tc>
          <w:tcPr>
            <w:tcW w:w="386"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图审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23</w:t>
            </w:r>
          </w:p>
        </w:tc>
        <w:tc>
          <w:tcPr>
            <w:tcW w:w="2304" w:type="pct"/>
            <w:vAlign w:val="center"/>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伪造建设工程勘察、设计文件</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勘察</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24</w:t>
            </w:r>
          </w:p>
        </w:tc>
        <w:tc>
          <w:tcPr>
            <w:tcW w:w="2304" w:type="pct"/>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擅自使用未经审查或未经审查合格的勘察成果文件进行工程设计</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25</w:t>
            </w:r>
          </w:p>
        </w:tc>
        <w:tc>
          <w:tcPr>
            <w:tcW w:w="2304" w:type="pct"/>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未落实装配式建筑、绿色建筑实施要求等管理规定</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26</w:t>
            </w:r>
          </w:p>
        </w:tc>
        <w:tc>
          <w:tcPr>
            <w:tcW w:w="2304" w:type="pct"/>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工程有关文件签字、盖章手续不齐全或不符合有关规定</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27</w:t>
            </w:r>
          </w:p>
        </w:tc>
        <w:tc>
          <w:tcPr>
            <w:tcW w:w="2304" w:type="pct"/>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不按规定程序修改、变更勘察（设计）文件</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勘察</w:t>
            </w:r>
          </w:p>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pStyle w:val="4"/>
              <w:adjustRightInd w:val="0"/>
              <w:snapToGrid w:val="0"/>
              <w:spacing w:line="340" w:lineRule="exact"/>
              <w:rPr>
                <w:rFonts w:ascii="仿宋" w:hAnsi="仿宋" w:eastAsia="仿宋" w:cs="仿宋"/>
                <w:sz w:val="24"/>
                <w:szCs w:val="24"/>
              </w:rPr>
            </w:pPr>
          </w:p>
        </w:tc>
        <w:tc>
          <w:tcPr>
            <w:tcW w:w="470"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28</w:t>
            </w:r>
          </w:p>
        </w:tc>
        <w:tc>
          <w:tcPr>
            <w:tcW w:w="2304" w:type="pct"/>
          </w:tcPr>
          <w:p>
            <w:pPr>
              <w:pStyle w:val="13"/>
              <w:adjustRightInd w:val="0"/>
              <w:snapToGrid w:val="0"/>
              <w:spacing w:line="340" w:lineRule="exact"/>
              <w:rPr>
                <w:rFonts w:ascii="仿宋" w:hAnsi="仿宋" w:eastAsia="仿宋" w:cs="仿宋"/>
                <w:sz w:val="24"/>
              </w:rPr>
            </w:pPr>
            <w:r>
              <w:rPr>
                <w:rFonts w:hint="eastAsia" w:ascii="仿宋" w:hAnsi="仿宋" w:eastAsia="仿宋" w:cs="仿宋"/>
                <w:sz w:val="24"/>
              </w:rPr>
              <w:t>施工图审查没有经各专业审查人员签字的审查记录，审查记录、审查合格书等有关资料未归档保存</w:t>
            </w:r>
          </w:p>
        </w:tc>
        <w:tc>
          <w:tcPr>
            <w:tcW w:w="1472"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2分/起</w:t>
            </w:r>
          </w:p>
        </w:tc>
        <w:tc>
          <w:tcPr>
            <w:tcW w:w="386"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图审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366" w:type="pct"/>
            <w:vAlign w:val="center"/>
          </w:tcPr>
          <w:p>
            <w:pPr>
              <w:pStyle w:val="4"/>
              <w:adjustRightInd w:val="0"/>
              <w:snapToGrid w:val="0"/>
              <w:spacing w:line="340" w:lineRule="exact"/>
              <w:jc w:val="center"/>
              <w:rPr>
                <w:rFonts w:ascii="仿宋" w:hAnsi="仿宋" w:eastAsia="仿宋" w:cs="仿宋"/>
                <w:sz w:val="24"/>
                <w:szCs w:val="24"/>
              </w:rPr>
            </w:pPr>
            <w:r>
              <w:rPr>
                <w:rFonts w:hint="eastAsia" w:ascii="仿宋" w:hAnsi="仿宋" w:eastAsia="仿宋" w:cs="仿宋"/>
                <w:sz w:val="24"/>
                <w:szCs w:val="24"/>
              </w:rPr>
              <w:t>说明</w:t>
            </w:r>
          </w:p>
        </w:tc>
        <w:tc>
          <w:tcPr>
            <w:tcW w:w="4633" w:type="pct"/>
            <w:gridSpan w:val="4"/>
            <w:vAlign w:val="center"/>
          </w:tcPr>
          <w:p>
            <w:pPr>
              <w:pStyle w:val="4"/>
              <w:adjustRightInd w:val="0"/>
              <w:snapToGrid w:val="0"/>
              <w:spacing w:line="340" w:lineRule="exact"/>
              <w:rPr>
                <w:rFonts w:ascii="仿宋" w:hAnsi="仿宋" w:eastAsia="仿宋" w:cs="仿宋"/>
                <w:sz w:val="24"/>
                <w:szCs w:val="24"/>
              </w:rPr>
            </w:pPr>
            <w:r>
              <w:rPr>
                <w:rFonts w:hint="eastAsia" w:ascii="仿宋" w:hAnsi="仿宋" w:eastAsia="仿宋" w:cs="仿宋"/>
                <w:sz w:val="24"/>
                <w:szCs w:val="24"/>
              </w:rPr>
              <w:t>1.企业评价起评分为85分，满分100分。</w:t>
            </w:r>
          </w:p>
          <w:p>
            <w:pPr>
              <w:pStyle w:val="4"/>
              <w:adjustRightInd w:val="0"/>
              <w:snapToGrid w:val="0"/>
              <w:spacing w:line="340" w:lineRule="exact"/>
              <w:rPr>
                <w:rFonts w:ascii="仿宋" w:hAnsi="仿宋" w:eastAsia="仿宋" w:cs="仿宋"/>
                <w:sz w:val="24"/>
                <w:szCs w:val="24"/>
              </w:rPr>
            </w:pPr>
            <w:r>
              <w:rPr>
                <w:rFonts w:hint="eastAsia" w:ascii="仿宋" w:hAnsi="仿宋" w:eastAsia="仿宋" w:cs="仿宋"/>
                <w:sz w:val="24"/>
                <w:szCs w:val="24"/>
              </w:rPr>
              <w:t>2.同一企业同一事项不同奖惩时，不重复计算，以最高值计分。</w:t>
            </w:r>
          </w:p>
          <w:p>
            <w:pPr>
              <w:pStyle w:val="4"/>
              <w:adjustRightInd w:val="0"/>
              <w:snapToGrid w:val="0"/>
              <w:spacing w:line="340" w:lineRule="exact"/>
              <w:rPr>
                <w:rFonts w:ascii="仿宋" w:hAnsi="仿宋" w:eastAsia="仿宋" w:cs="仿宋"/>
                <w:sz w:val="24"/>
                <w:szCs w:val="24"/>
              </w:rPr>
            </w:pPr>
            <w:r>
              <w:rPr>
                <w:rFonts w:hint="eastAsia" w:ascii="仿宋" w:hAnsi="仿宋" w:eastAsia="仿宋" w:cs="仿宋"/>
                <w:sz w:val="24"/>
                <w:szCs w:val="24"/>
              </w:rPr>
              <w:t>3.同一项目、同一时间违反同一强条的，按 1条计分。</w:t>
            </w:r>
          </w:p>
        </w:tc>
      </w:tr>
    </w:tbl>
    <w:p>
      <w:pPr>
        <w:pStyle w:val="7"/>
        <w:adjustRightInd w:val="0"/>
        <w:snapToGrid w:val="0"/>
        <w:spacing w:line="500" w:lineRule="exact"/>
        <w:rPr>
          <w:rFonts w:ascii="黑体" w:hAnsi="黑体" w:eastAsia="黑体" w:cs="黑体"/>
          <w:sz w:val="32"/>
        </w:rPr>
      </w:pPr>
    </w:p>
    <w:p>
      <w:pPr>
        <w:pStyle w:val="7"/>
        <w:adjustRightInd w:val="0"/>
        <w:snapToGrid w:val="0"/>
        <w:spacing w:line="500" w:lineRule="exact"/>
        <w:rPr>
          <w:rFonts w:ascii="黑体" w:hAnsi="黑体" w:eastAsia="黑体" w:cs="黑体"/>
          <w:sz w:val="32"/>
        </w:rPr>
      </w:pPr>
    </w:p>
    <w:p>
      <w:pPr>
        <w:widowControl/>
        <w:spacing w:line="540" w:lineRule="atLeast"/>
        <w:rPr>
          <w:rFonts w:hint="eastAsia" w:ascii="仿宋" w:hAnsi="仿宋" w:eastAsia="仿宋" w:cs="仿宋"/>
          <w:sz w:val="32"/>
          <w:szCs w:val="32"/>
        </w:rPr>
      </w:pPr>
    </w:p>
    <w:p>
      <w:pPr>
        <w:widowControl/>
        <w:spacing w:line="540" w:lineRule="atLeast"/>
        <w:rPr>
          <w:rFonts w:hint="eastAsia" w:ascii="仿宋" w:hAnsi="仿宋" w:eastAsia="仿宋" w:cs="仿宋"/>
          <w:sz w:val="32"/>
          <w:szCs w:val="32"/>
        </w:rPr>
      </w:pPr>
    </w:p>
    <w:p>
      <w:pPr>
        <w:widowControl/>
        <w:spacing w:line="540" w:lineRule="atLeast"/>
        <w:rPr>
          <w:rFonts w:hint="eastAsia" w:ascii="仿宋" w:hAnsi="仿宋" w:eastAsia="仿宋" w:cs="仿宋"/>
          <w:b/>
          <w:bCs/>
          <w:sz w:val="32"/>
          <w:szCs w:val="32"/>
        </w:rPr>
      </w:pPr>
    </w:p>
    <w:p>
      <w:pPr>
        <w:widowControl/>
        <w:spacing w:line="540" w:lineRule="atLeast"/>
        <w:rPr>
          <w:rFonts w:ascii="仿宋" w:hAnsi="仿宋" w:eastAsia="仿宋" w:cs="仿宋"/>
          <w:b/>
          <w:bCs/>
          <w:sz w:val="32"/>
          <w:szCs w:val="32"/>
        </w:rPr>
      </w:pPr>
      <w:r>
        <w:rPr>
          <w:rFonts w:hint="eastAsia" w:ascii="仿宋" w:hAnsi="仿宋" w:eastAsia="仿宋" w:cs="仿宋"/>
          <w:b/>
          <w:bCs/>
          <w:sz w:val="32"/>
          <w:szCs w:val="32"/>
        </w:rPr>
        <w:t>附件2</w:t>
      </w:r>
    </w:p>
    <w:p>
      <w:pPr>
        <w:pStyle w:val="7"/>
        <w:spacing w:beforeAutospacing="0" w:after="120" w:afterLines="50" w:afterAutospacing="0" w:line="570" w:lineRule="exact"/>
        <w:jc w:val="center"/>
        <w:rPr>
          <w:rFonts w:ascii="黑体" w:hAnsi="黑体" w:eastAsia="黑体" w:cs="黑体"/>
          <w:bCs/>
          <w:sz w:val="32"/>
        </w:rPr>
      </w:pPr>
      <w:r>
        <w:rPr>
          <w:rFonts w:hint="eastAsia" w:ascii="黑体" w:hAnsi="黑体" w:eastAsia="黑体" w:cs="黑体"/>
          <w:bCs/>
          <w:sz w:val="32"/>
        </w:rPr>
        <w:t>榆林市建筑业企业优良信用信息加分表</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569"/>
        <w:gridCol w:w="720"/>
        <w:gridCol w:w="123"/>
        <w:gridCol w:w="9"/>
        <w:gridCol w:w="732"/>
        <w:gridCol w:w="497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14" w:type="pct"/>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级别</w:t>
            </w:r>
          </w:p>
        </w:tc>
        <w:tc>
          <w:tcPr>
            <w:tcW w:w="873" w:type="pct"/>
            <w:gridSpan w:val="4"/>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2742" w:type="pct"/>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信息内容</w:t>
            </w:r>
          </w:p>
        </w:tc>
        <w:tc>
          <w:tcPr>
            <w:tcW w:w="789" w:type="pct"/>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1</w:t>
            </w:r>
          </w:p>
        </w:tc>
        <w:tc>
          <w:tcPr>
            <w:tcW w:w="314" w:type="pct"/>
            <w:vMerge w:val="restart"/>
            <w:vAlign w:val="center"/>
          </w:tcPr>
          <w:p>
            <w:pPr>
              <w:spacing w:line="360" w:lineRule="exact"/>
              <w:jc w:val="center"/>
              <w:rPr>
                <w:rFonts w:ascii="仿宋" w:hAnsi="仿宋" w:eastAsia="仿宋" w:cs="仿宋"/>
                <w:sz w:val="24"/>
              </w:rPr>
            </w:pPr>
            <w:r>
              <w:rPr>
                <w:rFonts w:hint="eastAsia" w:ascii="仿宋" w:hAnsi="仿宋" w:eastAsia="仿宋" w:cs="仿宋"/>
                <w:sz w:val="24"/>
              </w:rPr>
              <w:t>国家级</w:t>
            </w:r>
          </w:p>
        </w:tc>
        <w:tc>
          <w:tcPr>
            <w:tcW w:w="873" w:type="pct"/>
            <w:gridSpan w:val="4"/>
            <w:vMerge w:val="restart"/>
            <w:vAlign w:val="center"/>
          </w:tcPr>
          <w:p>
            <w:pPr>
              <w:spacing w:line="360" w:lineRule="exact"/>
              <w:rPr>
                <w:rFonts w:ascii="仿宋" w:hAnsi="仿宋" w:eastAsia="仿宋" w:cs="仿宋"/>
                <w:sz w:val="24"/>
              </w:rPr>
            </w:pPr>
            <w:r>
              <w:rPr>
                <w:rFonts w:hint="eastAsia" w:ascii="仿宋" w:hAnsi="仿宋" w:eastAsia="仿宋" w:cs="仿宋"/>
                <w:sz w:val="24"/>
              </w:rPr>
              <w:t>国优工程</w:t>
            </w: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中国建设工程鲁班奖</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2</w:t>
            </w:r>
          </w:p>
        </w:tc>
        <w:tc>
          <w:tcPr>
            <w:tcW w:w="314" w:type="pct"/>
            <w:vMerge w:val="continue"/>
            <w:vAlign w:val="center"/>
          </w:tcPr>
          <w:p>
            <w:pPr>
              <w:spacing w:line="360" w:lineRule="exact"/>
              <w:jc w:val="center"/>
              <w:rPr>
                <w:rFonts w:ascii="仿宋" w:hAnsi="仿宋" w:eastAsia="仿宋" w:cs="仿宋"/>
                <w:sz w:val="24"/>
              </w:rPr>
            </w:pPr>
          </w:p>
        </w:tc>
        <w:tc>
          <w:tcPr>
            <w:tcW w:w="873" w:type="pct"/>
            <w:gridSpan w:val="4"/>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国家优质工程奖</w:t>
            </w:r>
          </w:p>
        </w:tc>
        <w:tc>
          <w:tcPr>
            <w:tcW w:w="789" w:type="pct"/>
            <w:vAlign w:val="center"/>
          </w:tcPr>
          <w:p>
            <w:pPr>
              <w:spacing w:line="360" w:lineRule="exact"/>
              <w:jc w:val="center"/>
              <w:rPr>
                <w:rFonts w:ascii="仿宋" w:hAnsi="仿宋" w:eastAsia="仿宋" w:cs="仿宋"/>
                <w:spacing w:val="-20"/>
                <w:sz w:val="24"/>
              </w:rPr>
            </w:pPr>
            <w:r>
              <w:rPr>
                <w:rFonts w:hint="eastAsia" w:ascii="仿宋" w:hAnsi="仿宋" w:eastAsia="仿宋" w:cs="仿宋"/>
                <w:spacing w:val="-20"/>
                <w:sz w:val="24"/>
              </w:rPr>
              <w:t>金质奖10分</w:t>
            </w:r>
          </w:p>
          <w:p>
            <w:pPr>
              <w:tabs>
                <w:tab w:val="left" w:pos="1377"/>
              </w:tabs>
              <w:spacing w:line="360" w:lineRule="exact"/>
              <w:jc w:val="center"/>
              <w:rPr>
                <w:rFonts w:ascii="仿宋" w:hAnsi="仿宋" w:eastAsia="仿宋" w:cs="仿宋"/>
                <w:sz w:val="24"/>
              </w:rPr>
            </w:pPr>
            <w:r>
              <w:rPr>
                <w:rFonts w:hint="eastAsia" w:ascii="仿宋" w:hAnsi="仿宋" w:eastAsia="仿宋" w:cs="仿宋"/>
                <w:spacing w:val="-20"/>
                <w:sz w:val="24"/>
              </w:rPr>
              <w:t>工程奖8分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3</w:t>
            </w:r>
          </w:p>
        </w:tc>
        <w:tc>
          <w:tcPr>
            <w:tcW w:w="314" w:type="pct"/>
            <w:vMerge w:val="continue"/>
            <w:vAlign w:val="center"/>
          </w:tcPr>
          <w:p>
            <w:pPr>
              <w:spacing w:line="360" w:lineRule="exact"/>
              <w:jc w:val="center"/>
              <w:rPr>
                <w:rFonts w:ascii="仿宋" w:hAnsi="仿宋" w:eastAsia="仿宋" w:cs="仿宋"/>
                <w:sz w:val="24"/>
              </w:rPr>
            </w:pPr>
          </w:p>
        </w:tc>
        <w:tc>
          <w:tcPr>
            <w:tcW w:w="397" w:type="pct"/>
            <w:vMerge w:val="restart"/>
            <w:vAlign w:val="center"/>
          </w:tcPr>
          <w:p>
            <w:pPr>
              <w:spacing w:line="360" w:lineRule="exact"/>
              <w:rPr>
                <w:rFonts w:ascii="仿宋" w:hAnsi="仿宋" w:eastAsia="仿宋" w:cs="仿宋"/>
                <w:sz w:val="24"/>
              </w:rPr>
            </w:pPr>
            <w:r>
              <w:rPr>
                <w:rFonts w:hint="eastAsia" w:ascii="仿宋" w:hAnsi="仿宋" w:eastAsia="仿宋" w:cs="仿宋"/>
                <w:sz w:val="24"/>
              </w:rPr>
              <w:t>国优专业工程</w:t>
            </w:r>
          </w:p>
        </w:tc>
        <w:tc>
          <w:tcPr>
            <w:tcW w:w="476" w:type="pct"/>
            <w:gridSpan w:val="3"/>
            <w:vMerge w:val="restart"/>
            <w:vAlign w:val="center"/>
          </w:tcPr>
          <w:p>
            <w:pPr>
              <w:spacing w:line="360" w:lineRule="exact"/>
              <w:rPr>
                <w:rFonts w:ascii="仿宋" w:hAnsi="仿宋" w:eastAsia="仿宋" w:cs="仿宋"/>
                <w:sz w:val="24"/>
              </w:rPr>
            </w:pPr>
            <w:r>
              <w:rPr>
                <w:rFonts w:hint="eastAsia" w:ascii="仿宋" w:hAnsi="仿宋" w:eastAsia="仿宋" w:cs="仿宋"/>
                <w:sz w:val="24"/>
              </w:rPr>
              <w:t>工程质量</w:t>
            </w: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shd w:val="clear" w:color="auto" w:fill="FFFFFF"/>
              </w:rPr>
              <w:t>中国建筑工程装饰奖</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4</w:t>
            </w:r>
          </w:p>
        </w:tc>
        <w:tc>
          <w:tcPr>
            <w:tcW w:w="314" w:type="pct"/>
            <w:vMerge w:val="continue"/>
            <w:vAlign w:val="center"/>
          </w:tcPr>
          <w:p>
            <w:pPr>
              <w:spacing w:line="360" w:lineRule="exact"/>
              <w:jc w:val="center"/>
              <w:rPr>
                <w:rFonts w:ascii="仿宋" w:hAnsi="仿宋" w:eastAsia="仿宋" w:cs="仿宋"/>
                <w:sz w:val="24"/>
              </w:rPr>
            </w:pPr>
          </w:p>
        </w:tc>
        <w:tc>
          <w:tcPr>
            <w:tcW w:w="397" w:type="pct"/>
            <w:vMerge w:val="continue"/>
            <w:vAlign w:val="center"/>
          </w:tcPr>
          <w:p>
            <w:pPr>
              <w:spacing w:line="360" w:lineRule="exact"/>
              <w:rPr>
                <w:rFonts w:ascii="仿宋" w:hAnsi="仿宋" w:eastAsia="仿宋" w:cs="仿宋"/>
                <w:sz w:val="24"/>
              </w:rPr>
            </w:pPr>
          </w:p>
        </w:tc>
        <w:tc>
          <w:tcPr>
            <w:tcW w:w="476" w:type="pct"/>
            <w:gridSpan w:val="3"/>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全国工程建设质量管理（QC）小组活动成果</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5</w:t>
            </w:r>
          </w:p>
        </w:tc>
        <w:tc>
          <w:tcPr>
            <w:tcW w:w="314" w:type="pct"/>
            <w:vMerge w:val="continue"/>
            <w:vAlign w:val="center"/>
          </w:tcPr>
          <w:p>
            <w:pPr>
              <w:spacing w:line="360" w:lineRule="exact"/>
              <w:jc w:val="center"/>
              <w:rPr>
                <w:rFonts w:ascii="仿宋" w:hAnsi="仿宋" w:eastAsia="仿宋" w:cs="仿宋"/>
                <w:sz w:val="24"/>
              </w:rPr>
            </w:pPr>
          </w:p>
        </w:tc>
        <w:tc>
          <w:tcPr>
            <w:tcW w:w="397" w:type="pct"/>
            <w:vMerge w:val="continue"/>
            <w:vAlign w:val="center"/>
          </w:tcPr>
          <w:p>
            <w:pPr>
              <w:spacing w:line="360" w:lineRule="exact"/>
              <w:rPr>
                <w:rFonts w:ascii="仿宋" w:hAnsi="仿宋" w:eastAsia="仿宋" w:cs="仿宋"/>
                <w:sz w:val="24"/>
              </w:rPr>
            </w:pPr>
          </w:p>
        </w:tc>
        <w:tc>
          <w:tcPr>
            <w:tcW w:w="476" w:type="pct"/>
            <w:gridSpan w:val="3"/>
            <w:vMerge w:val="restart"/>
            <w:vAlign w:val="center"/>
          </w:tcPr>
          <w:p>
            <w:pPr>
              <w:spacing w:line="360" w:lineRule="exact"/>
              <w:rPr>
                <w:rFonts w:ascii="仿宋" w:hAnsi="仿宋" w:eastAsia="仿宋" w:cs="仿宋"/>
                <w:sz w:val="24"/>
              </w:rPr>
            </w:pPr>
            <w:r>
              <w:rPr>
                <w:rFonts w:hint="eastAsia" w:ascii="仿宋" w:hAnsi="仿宋" w:eastAsia="仿宋" w:cs="仿宋"/>
                <w:sz w:val="24"/>
              </w:rPr>
              <w:t>技术进步</w:t>
            </w: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国家科学技术奖</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6</w:t>
            </w:r>
          </w:p>
        </w:tc>
        <w:tc>
          <w:tcPr>
            <w:tcW w:w="314" w:type="pct"/>
            <w:vMerge w:val="continue"/>
            <w:vAlign w:val="center"/>
          </w:tcPr>
          <w:p>
            <w:pPr>
              <w:spacing w:line="360" w:lineRule="exact"/>
              <w:jc w:val="center"/>
              <w:rPr>
                <w:rFonts w:ascii="仿宋" w:hAnsi="仿宋" w:eastAsia="仿宋" w:cs="仿宋"/>
                <w:sz w:val="24"/>
              </w:rPr>
            </w:pPr>
          </w:p>
        </w:tc>
        <w:tc>
          <w:tcPr>
            <w:tcW w:w="397" w:type="pct"/>
            <w:vMerge w:val="continue"/>
            <w:vAlign w:val="center"/>
          </w:tcPr>
          <w:p>
            <w:pPr>
              <w:spacing w:line="360" w:lineRule="exact"/>
              <w:rPr>
                <w:rFonts w:ascii="仿宋" w:hAnsi="仿宋" w:eastAsia="仿宋" w:cs="仿宋"/>
                <w:sz w:val="24"/>
              </w:rPr>
            </w:pPr>
          </w:p>
        </w:tc>
        <w:tc>
          <w:tcPr>
            <w:tcW w:w="476" w:type="pct"/>
            <w:gridSpan w:val="3"/>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绿色建筑创新奖</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7</w:t>
            </w:r>
          </w:p>
        </w:tc>
        <w:tc>
          <w:tcPr>
            <w:tcW w:w="314" w:type="pct"/>
            <w:vMerge w:val="continue"/>
            <w:vAlign w:val="center"/>
          </w:tcPr>
          <w:p>
            <w:pPr>
              <w:spacing w:line="360" w:lineRule="exact"/>
              <w:jc w:val="center"/>
              <w:rPr>
                <w:rFonts w:ascii="仿宋" w:hAnsi="仿宋" w:eastAsia="仿宋" w:cs="仿宋"/>
                <w:sz w:val="24"/>
              </w:rPr>
            </w:pPr>
          </w:p>
        </w:tc>
        <w:tc>
          <w:tcPr>
            <w:tcW w:w="397" w:type="pct"/>
            <w:vMerge w:val="continue"/>
            <w:vAlign w:val="center"/>
          </w:tcPr>
          <w:p>
            <w:pPr>
              <w:spacing w:line="360" w:lineRule="exact"/>
              <w:rPr>
                <w:rFonts w:ascii="仿宋" w:hAnsi="仿宋" w:eastAsia="仿宋" w:cs="仿宋"/>
                <w:sz w:val="24"/>
              </w:rPr>
            </w:pPr>
          </w:p>
        </w:tc>
        <w:tc>
          <w:tcPr>
            <w:tcW w:w="476" w:type="pct"/>
            <w:gridSpan w:val="3"/>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绿色施工科技示范工程</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8</w:t>
            </w:r>
          </w:p>
        </w:tc>
        <w:tc>
          <w:tcPr>
            <w:tcW w:w="314" w:type="pct"/>
            <w:vMerge w:val="continue"/>
            <w:vAlign w:val="center"/>
          </w:tcPr>
          <w:p>
            <w:pPr>
              <w:spacing w:line="360" w:lineRule="exact"/>
              <w:jc w:val="center"/>
              <w:rPr>
                <w:rFonts w:ascii="仿宋" w:hAnsi="仿宋" w:eastAsia="仿宋" w:cs="仿宋"/>
                <w:sz w:val="24"/>
              </w:rPr>
            </w:pPr>
          </w:p>
        </w:tc>
        <w:tc>
          <w:tcPr>
            <w:tcW w:w="397" w:type="pct"/>
            <w:vMerge w:val="continue"/>
            <w:vAlign w:val="center"/>
          </w:tcPr>
          <w:p>
            <w:pPr>
              <w:spacing w:line="360" w:lineRule="exact"/>
              <w:rPr>
                <w:rFonts w:ascii="仿宋" w:hAnsi="仿宋" w:eastAsia="仿宋" w:cs="仿宋"/>
                <w:sz w:val="24"/>
              </w:rPr>
            </w:pPr>
          </w:p>
        </w:tc>
        <w:tc>
          <w:tcPr>
            <w:tcW w:w="476" w:type="pct"/>
            <w:gridSpan w:val="3"/>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国家级装配式建筑示范项目</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9</w:t>
            </w:r>
          </w:p>
        </w:tc>
        <w:tc>
          <w:tcPr>
            <w:tcW w:w="314" w:type="pct"/>
            <w:vMerge w:val="continue"/>
            <w:vAlign w:val="center"/>
          </w:tcPr>
          <w:p>
            <w:pPr>
              <w:spacing w:line="360" w:lineRule="exact"/>
              <w:jc w:val="center"/>
              <w:rPr>
                <w:rFonts w:ascii="仿宋" w:hAnsi="仿宋" w:eastAsia="仿宋" w:cs="仿宋"/>
                <w:sz w:val="24"/>
              </w:rPr>
            </w:pPr>
          </w:p>
        </w:tc>
        <w:tc>
          <w:tcPr>
            <w:tcW w:w="397" w:type="pct"/>
            <w:vMerge w:val="continue"/>
            <w:vAlign w:val="center"/>
          </w:tcPr>
          <w:p>
            <w:pPr>
              <w:spacing w:line="360" w:lineRule="exact"/>
              <w:rPr>
                <w:rFonts w:ascii="仿宋" w:hAnsi="仿宋" w:eastAsia="仿宋" w:cs="仿宋"/>
                <w:sz w:val="24"/>
              </w:rPr>
            </w:pPr>
          </w:p>
        </w:tc>
        <w:tc>
          <w:tcPr>
            <w:tcW w:w="476" w:type="pct"/>
            <w:gridSpan w:val="3"/>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国家级工法</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10</w:t>
            </w:r>
          </w:p>
        </w:tc>
        <w:tc>
          <w:tcPr>
            <w:tcW w:w="314" w:type="pct"/>
            <w:vMerge w:val="continue"/>
            <w:vAlign w:val="center"/>
          </w:tcPr>
          <w:p>
            <w:pPr>
              <w:spacing w:line="360" w:lineRule="exact"/>
              <w:jc w:val="center"/>
              <w:rPr>
                <w:rFonts w:ascii="仿宋" w:hAnsi="仿宋" w:eastAsia="仿宋" w:cs="仿宋"/>
                <w:sz w:val="24"/>
              </w:rPr>
            </w:pPr>
          </w:p>
        </w:tc>
        <w:tc>
          <w:tcPr>
            <w:tcW w:w="397" w:type="pct"/>
            <w:vMerge w:val="continue"/>
            <w:vAlign w:val="center"/>
          </w:tcPr>
          <w:p>
            <w:pPr>
              <w:spacing w:line="360" w:lineRule="exact"/>
              <w:rPr>
                <w:rFonts w:ascii="仿宋" w:hAnsi="仿宋" w:eastAsia="仿宋" w:cs="仿宋"/>
                <w:sz w:val="24"/>
              </w:rPr>
            </w:pPr>
          </w:p>
        </w:tc>
        <w:tc>
          <w:tcPr>
            <w:tcW w:w="476" w:type="pct"/>
            <w:gridSpan w:val="3"/>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中国建设工程BIM大赛</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11</w:t>
            </w:r>
          </w:p>
        </w:tc>
        <w:tc>
          <w:tcPr>
            <w:tcW w:w="314" w:type="pct"/>
            <w:vMerge w:val="continue"/>
            <w:vAlign w:val="center"/>
          </w:tcPr>
          <w:p>
            <w:pPr>
              <w:spacing w:line="360" w:lineRule="exact"/>
              <w:jc w:val="center"/>
              <w:rPr>
                <w:rFonts w:ascii="仿宋" w:hAnsi="仿宋" w:eastAsia="仿宋" w:cs="仿宋"/>
                <w:sz w:val="24"/>
              </w:rPr>
            </w:pPr>
          </w:p>
        </w:tc>
        <w:tc>
          <w:tcPr>
            <w:tcW w:w="397" w:type="pct"/>
            <w:vMerge w:val="continue"/>
            <w:vAlign w:val="center"/>
          </w:tcPr>
          <w:p>
            <w:pPr>
              <w:spacing w:line="360" w:lineRule="exact"/>
              <w:rPr>
                <w:rFonts w:ascii="仿宋" w:hAnsi="仿宋" w:eastAsia="仿宋" w:cs="仿宋"/>
                <w:sz w:val="24"/>
              </w:rPr>
            </w:pPr>
          </w:p>
        </w:tc>
        <w:tc>
          <w:tcPr>
            <w:tcW w:w="476" w:type="pct"/>
            <w:gridSpan w:val="3"/>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科学技术进步奖</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12</w:t>
            </w:r>
          </w:p>
        </w:tc>
        <w:tc>
          <w:tcPr>
            <w:tcW w:w="314" w:type="pct"/>
            <w:vMerge w:val="continue"/>
            <w:vAlign w:val="center"/>
          </w:tcPr>
          <w:p>
            <w:pPr>
              <w:spacing w:line="360" w:lineRule="exact"/>
              <w:jc w:val="center"/>
              <w:rPr>
                <w:rFonts w:ascii="仿宋" w:hAnsi="仿宋" w:eastAsia="仿宋" w:cs="仿宋"/>
                <w:sz w:val="24"/>
              </w:rPr>
            </w:pPr>
          </w:p>
        </w:tc>
        <w:tc>
          <w:tcPr>
            <w:tcW w:w="873" w:type="pct"/>
            <w:gridSpan w:val="4"/>
            <w:vMerge w:val="restart"/>
            <w:vAlign w:val="center"/>
          </w:tcPr>
          <w:p>
            <w:pPr>
              <w:spacing w:line="360" w:lineRule="exact"/>
              <w:rPr>
                <w:rFonts w:ascii="仿宋" w:hAnsi="仿宋" w:eastAsia="仿宋" w:cs="仿宋"/>
                <w:sz w:val="24"/>
              </w:rPr>
            </w:pPr>
            <w:r>
              <w:rPr>
                <w:rFonts w:hint="eastAsia" w:ascii="仿宋" w:hAnsi="仿宋" w:eastAsia="仿宋" w:cs="仿宋"/>
                <w:sz w:val="24"/>
              </w:rPr>
              <w:t>国家级表彰</w:t>
            </w: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国务院表彰</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13</w:t>
            </w:r>
          </w:p>
        </w:tc>
        <w:tc>
          <w:tcPr>
            <w:tcW w:w="314" w:type="pct"/>
            <w:vMerge w:val="continue"/>
            <w:vAlign w:val="center"/>
          </w:tcPr>
          <w:p>
            <w:pPr>
              <w:spacing w:line="360" w:lineRule="exact"/>
              <w:jc w:val="center"/>
              <w:rPr>
                <w:rFonts w:ascii="仿宋" w:hAnsi="仿宋" w:eastAsia="仿宋" w:cs="仿宋"/>
                <w:sz w:val="24"/>
              </w:rPr>
            </w:pPr>
          </w:p>
        </w:tc>
        <w:tc>
          <w:tcPr>
            <w:tcW w:w="873" w:type="pct"/>
            <w:gridSpan w:val="4"/>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住房城乡建设部表彰</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14</w:t>
            </w:r>
          </w:p>
        </w:tc>
        <w:tc>
          <w:tcPr>
            <w:tcW w:w="314" w:type="pct"/>
            <w:vMerge w:val="continue"/>
            <w:vAlign w:val="center"/>
          </w:tcPr>
          <w:p>
            <w:pPr>
              <w:spacing w:line="360" w:lineRule="exact"/>
              <w:jc w:val="center"/>
              <w:rPr>
                <w:rFonts w:ascii="仿宋" w:hAnsi="仿宋" w:eastAsia="仿宋" w:cs="仿宋"/>
                <w:sz w:val="24"/>
              </w:rPr>
            </w:pPr>
          </w:p>
        </w:tc>
        <w:tc>
          <w:tcPr>
            <w:tcW w:w="873" w:type="pct"/>
            <w:gridSpan w:val="4"/>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住房城乡建设部经验介绍推广、工程观摩</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15</w:t>
            </w:r>
          </w:p>
        </w:tc>
        <w:tc>
          <w:tcPr>
            <w:tcW w:w="314" w:type="pct"/>
            <w:vMerge w:val="continue"/>
            <w:vAlign w:val="center"/>
          </w:tcPr>
          <w:p>
            <w:pPr>
              <w:spacing w:line="360" w:lineRule="exact"/>
              <w:jc w:val="center"/>
              <w:rPr>
                <w:rFonts w:ascii="仿宋" w:hAnsi="仿宋" w:eastAsia="仿宋" w:cs="仿宋"/>
                <w:sz w:val="24"/>
              </w:rPr>
            </w:pPr>
          </w:p>
        </w:tc>
        <w:tc>
          <w:tcPr>
            <w:tcW w:w="465" w:type="pct"/>
            <w:gridSpan w:val="2"/>
            <w:vMerge w:val="restart"/>
            <w:vAlign w:val="center"/>
          </w:tcPr>
          <w:p>
            <w:pPr>
              <w:spacing w:line="360" w:lineRule="exact"/>
              <w:rPr>
                <w:rFonts w:ascii="仿宋" w:hAnsi="仿宋" w:eastAsia="仿宋" w:cs="仿宋"/>
                <w:sz w:val="24"/>
              </w:rPr>
            </w:pPr>
            <w:r>
              <w:rPr>
                <w:rFonts w:hint="eastAsia" w:ascii="仿宋" w:hAnsi="仿宋" w:eastAsia="仿宋" w:cs="仿宋"/>
                <w:sz w:val="24"/>
              </w:rPr>
              <w:t>省优专业工程</w:t>
            </w:r>
          </w:p>
        </w:tc>
        <w:tc>
          <w:tcPr>
            <w:tcW w:w="408" w:type="pct"/>
            <w:gridSpan w:val="2"/>
            <w:vMerge w:val="restart"/>
            <w:vAlign w:val="center"/>
          </w:tcPr>
          <w:p>
            <w:pPr>
              <w:spacing w:line="360" w:lineRule="exact"/>
              <w:rPr>
                <w:rFonts w:ascii="仿宋" w:hAnsi="仿宋" w:eastAsia="仿宋" w:cs="仿宋"/>
                <w:sz w:val="24"/>
              </w:rPr>
            </w:pPr>
            <w:r>
              <w:rPr>
                <w:rFonts w:hint="eastAsia" w:ascii="仿宋" w:hAnsi="仿宋" w:eastAsia="仿宋" w:cs="仿宋"/>
                <w:sz w:val="24"/>
              </w:rPr>
              <w:t>优质工程</w:t>
            </w: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长安杯</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16</w:t>
            </w:r>
          </w:p>
        </w:tc>
        <w:tc>
          <w:tcPr>
            <w:tcW w:w="314" w:type="pct"/>
            <w:vMerge w:val="continue"/>
            <w:vAlign w:val="center"/>
          </w:tcPr>
          <w:p>
            <w:pPr>
              <w:spacing w:line="360" w:lineRule="exact"/>
              <w:jc w:val="center"/>
              <w:rPr>
                <w:rFonts w:ascii="仿宋" w:hAnsi="仿宋" w:eastAsia="仿宋" w:cs="仿宋"/>
                <w:sz w:val="24"/>
              </w:rPr>
            </w:pPr>
          </w:p>
        </w:tc>
        <w:tc>
          <w:tcPr>
            <w:tcW w:w="465" w:type="pct"/>
            <w:gridSpan w:val="2"/>
            <w:vMerge w:val="continue"/>
            <w:vAlign w:val="center"/>
          </w:tcPr>
          <w:p>
            <w:pPr>
              <w:spacing w:line="360" w:lineRule="exact"/>
              <w:rPr>
                <w:rFonts w:ascii="仿宋" w:hAnsi="仿宋" w:eastAsia="仿宋" w:cs="仿宋"/>
                <w:sz w:val="24"/>
              </w:rPr>
            </w:pPr>
          </w:p>
        </w:tc>
        <w:tc>
          <w:tcPr>
            <w:tcW w:w="408" w:type="pct"/>
            <w:gridSpan w:val="2"/>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省级优质工程奖</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17</w:t>
            </w:r>
          </w:p>
        </w:tc>
        <w:tc>
          <w:tcPr>
            <w:tcW w:w="314" w:type="pct"/>
            <w:vMerge w:val="continue"/>
            <w:vAlign w:val="center"/>
          </w:tcPr>
          <w:p>
            <w:pPr>
              <w:spacing w:line="360" w:lineRule="exact"/>
              <w:jc w:val="center"/>
              <w:rPr>
                <w:rFonts w:ascii="仿宋" w:hAnsi="仿宋" w:eastAsia="仿宋" w:cs="仿宋"/>
                <w:sz w:val="24"/>
              </w:rPr>
            </w:pPr>
          </w:p>
        </w:tc>
        <w:tc>
          <w:tcPr>
            <w:tcW w:w="465" w:type="pct"/>
            <w:gridSpan w:val="2"/>
            <w:vMerge w:val="continue"/>
            <w:vAlign w:val="center"/>
          </w:tcPr>
          <w:p>
            <w:pPr>
              <w:spacing w:line="360" w:lineRule="exact"/>
              <w:rPr>
                <w:rFonts w:ascii="仿宋" w:hAnsi="仿宋" w:eastAsia="仿宋" w:cs="仿宋"/>
                <w:sz w:val="24"/>
              </w:rPr>
            </w:pPr>
          </w:p>
        </w:tc>
        <w:tc>
          <w:tcPr>
            <w:tcW w:w="408" w:type="pct"/>
            <w:gridSpan w:val="2"/>
            <w:vMerge w:val="restart"/>
            <w:vAlign w:val="center"/>
          </w:tcPr>
          <w:p>
            <w:pPr>
              <w:spacing w:line="360" w:lineRule="exact"/>
              <w:rPr>
                <w:rFonts w:ascii="仿宋" w:hAnsi="仿宋" w:eastAsia="仿宋" w:cs="仿宋"/>
                <w:sz w:val="24"/>
              </w:rPr>
            </w:pPr>
            <w:r>
              <w:rPr>
                <w:rFonts w:hint="eastAsia" w:ascii="仿宋" w:hAnsi="仿宋" w:eastAsia="仿宋" w:cs="仿宋"/>
                <w:sz w:val="24"/>
              </w:rPr>
              <w:t>安全文明生产</w:t>
            </w: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省房屋市政施工安全文明工地</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18</w:t>
            </w:r>
          </w:p>
        </w:tc>
        <w:tc>
          <w:tcPr>
            <w:tcW w:w="314" w:type="pct"/>
            <w:vMerge w:val="continue"/>
            <w:vAlign w:val="center"/>
          </w:tcPr>
          <w:p>
            <w:pPr>
              <w:spacing w:line="360" w:lineRule="exact"/>
              <w:jc w:val="center"/>
              <w:rPr>
                <w:rFonts w:ascii="仿宋" w:hAnsi="仿宋" w:eastAsia="仿宋" w:cs="仿宋"/>
                <w:sz w:val="24"/>
              </w:rPr>
            </w:pPr>
          </w:p>
        </w:tc>
        <w:tc>
          <w:tcPr>
            <w:tcW w:w="465" w:type="pct"/>
            <w:gridSpan w:val="2"/>
            <w:vMerge w:val="continue"/>
            <w:vAlign w:val="center"/>
          </w:tcPr>
          <w:p>
            <w:pPr>
              <w:spacing w:line="360" w:lineRule="exact"/>
              <w:rPr>
                <w:rFonts w:ascii="仿宋" w:hAnsi="仿宋" w:eastAsia="仿宋" w:cs="仿宋"/>
                <w:sz w:val="24"/>
              </w:rPr>
            </w:pPr>
          </w:p>
        </w:tc>
        <w:tc>
          <w:tcPr>
            <w:tcW w:w="408" w:type="pct"/>
            <w:gridSpan w:val="2"/>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建筑施工双重预防体系建设省级标杆企业</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19</w:t>
            </w:r>
          </w:p>
        </w:tc>
        <w:tc>
          <w:tcPr>
            <w:tcW w:w="314" w:type="pct"/>
            <w:vMerge w:val="continue"/>
            <w:vAlign w:val="center"/>
          </w:tcPr>
          <w:p>
            <w:pPr>
              <w:spacing w:line="360" w:lineRule="exact"/>
              <w:jc w:val="center"/>
              <w:rPr>
                <w:rFonts w:ascii="仿宋" w:hAnsi="仿宋" w:eastAsia="仿宋" w:cs="仿宋"/>
                <w:sz w:val="24"/>
              </w:rPr>
            </w:pPr>
          </w:p>
        </w:tc>
        <w:tc>
          <w:tcPr>
            <w:tcW w:w="465" w:type="pct"/>
            <w:gridSpan w:val="2"/>
            <w:vMerge w:val="continue"/>
            <w:vAlign w:val="center"/>
          </w:tcPr>
          <w:p>
            <w:pPr>
              <w:spacing w:line="360" w:lineRule="exact"/>
              <w:rPr>
                <w:rFonts w:ascii="仿宋" w:hAnsi="仿宋" w:eastAsia="仿宋" w:cs="仿宋"/>
                <w:sz w:val="24"/>
              </w:rPr>
            </w:pPr>
          </w:p>
        </w:tc>
        <w:tc>
          <w:tcPr>
            <w:tcW w:w="408" w:type="pct"/>
            <w:gridSpan w:val="2"/>
            <w:vMerge w:val="restart"/>
            <w:vAlign w:val="center"/>
          </w:tcPr>
          <w:p>
            <w:pPr>
              <w:spacing w:line="360" w:lineRule="exact"/>
              <w:rPr>
                <w:rFonts w:ascii="仿宋" w:hAnsi="仿宋" w:eastAsia="仿宋" w:cs="仿宋"/>
                <w:sz w:val="24"/>
              </w:rPr>
            </w:pPr>
            <w:r>
              <w:rPr>
                <w:rFonts w:hint="eastAsia" w:ascii="仿宋" w:hAnsi="仿宋" w:eastAsia="仿宋" w:cs="仿宋"/>
                <w:sz w:val="24"/>
              </w:rPr>
              <w:t>科技进步</w:t>
            </w: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省科学技术奖</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20</w:t>
            </w:r>
          </w:p>
        </w:tc>
        <w:tc>
          <w:tcPr>
            <w:tcW w:w="314" w:type="pct"/>
            <w:vMerge w:val="continue"/>
            <w:vAlign w:val="center"/>
          </w:tcPr>
          <w:p>
            <w:pPr>
              <w:spacing w:line="360" w:lineRule="exact"/>
              <w:jc w:val="center"/>
              <w:rPr>
                <w:rFonts w:ascii="仿宋" w:hAnsi="仿宋" w:eastAsia="仿宋" w:cs="仿宋"/>
                <w:sz w:val="24"/>
              </w:rPr>
            </w:pPr>
          </w:p>
        </w:tc>
        <w:tc>
          <w:tcPr>
            <w:tcW w:w="465" w:type="pct"/>
            <w:gridSpan w:val="2"/>
            <w:vMerge w:val="continue"/>
            <w:vAlign w:val="center"/>
          </w:tcPr>
          <w:p>
            <w:pPr>
              <w:spacing w:line="360" w:lineRule="exact"/>
              <w:rPr>
                <w:rFonts w:ascii="仿宋" w:hAnsi="仿宋" w:eastAsia="仿宋" w:cs="仿宋"/>
                <w:sz w:val="24"/>
              </w:rPr>
            </w:pPr>
          </w:p>
        </w:tc>
        <w:tc>
          <w:tcPr>
            <w:tcW w:w="408" w:type="pct"/>
            <w:gridSpan w:val="2"/>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省优秀科技成果奖</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21</w:t>
            </w:r>
          </w:p>
        </w:tc>
        <w:tc>
          <w:tcPr>
            <w:tcW w:w="314" w:type="pct"/>
            <w:vMerge w:val="continue"/>
            <w:vAlign w:val="center"/>
          </w:tcPr>
          <w:p>
            <w:pPr>
              <w:spacing w:line="360" w:lineRule="exact"/>
              <w:jc w:val="center"/>
              <w:rPr>
                <w:rFonts w:ascii="仿宋" w:hAnsi="仿宋" w:eastAsia="仿宋" w:cs="仿宋"/>
                <w:sz w:val="24"/>
              </w:rPr>
            </w:pPr>
          </w:p>
        </w:tc>
        <w:tc>
          <w:tcPr>
            <w:tcW w:w="465" w:type="pct"/>
            <w:gridSpan w:val="2"/>
            <w:vMerge w:val="continue"/>
            <w:vAlign w:val="center"/>
          </w:tcPr>
          <w:p>
            <w:pPr>
              <w:spacing w:line="360" w:lineRule="exact"/>
              <w:rPr>
                <w:rFonts w:ascii="仿宋" w:hAnsi="仿宋" w:eastAsia="仿宋" w:cs="仿宋"/>
                <w:sz w:val="24"/>
              </w:rPr>
            </w:pPr>
          </w:p>
        </w:tc>
        <w:tc>
          <w:tcPr>
            <w:tcW w:w="408" w:type="pct"/>
            <w:gridSpan w:val="2"/>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省绿色施工科技示范工程</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22</w:t>
            </w:r>
          </w:p>
        </w:tc>
        <w:tc>
          <w:tcPr>
            <w:tcW w:w="314" w:type="pct"/>
            <w:vMerge w:val="continue"/>
            <w:vAlign w:val="center"/>
          </w:tcPr>
          <w:p>
            <w:pPr>
              <w:spacing w:line="360" w:lineRule="exact"/>
              <w:jc w:val="center"/>
              <w:rPr>
                <w:rFonts w:ascii="仿宋" w:hAnsi="仿宋" w:eastAsia="仿宋" w:cs="仿宋"/>
                <w:sz w:val="24"/>
              </w:rPr>
            </w:pPr>
          </w:p>
        </w:tc>
        <w:tc>
          <w:tcPr>
            <w:tcW w:w="873" w:type="pct"/>
            <w:gridSpan w:val="4"/>
            <w:vMerge w:val="restart"/>
            <w:vAlign w:val="center"/>
          </w:tcPr>
          <w:p>
            <w:pPr>
              <w:spacing w:line="360" w:lineRule="exact"/>
              <w:rPr>
                <w:rFonts w:ascii="仿宋" w:hAnsi="仿宋" w:eastAsia="仿宋" w:cs="仿宋"/>
                <w:sz w:val="24"/>
              </w:rPr>
            </w:pPr>
            <w:r>
              <w:rPr>
                <w:rFonts w:hint="eastAsia" w:ascii="仿宋" w:hAnsi="仿宋" w:eastAsia="仿宋" w:cs="仿宋"/>
                <w:sz w:val="24"/>
              </w:rPr>
              <w:t>省级表彰</w:t>
            </w: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省政府表彰</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23</w:t>
            </w:r>
          </w:p>
        </w:tc>
        <w:tc>
          <w:tcPr>
            <w:tcW w:w="314" w:type="pct"/>
            <w:vMerge w:val="continue"/>
            <w:vAlign w:val="center"/>
          </w:tcPr>
          <w:p>
            <w:pPr>
              <w:spacing w:line="360" w:lineRule="exact"/>
              <w:jc w:val="center"/>
              <w:rPr>
                <w:rFonts w:ascii="仿宋" w:hAnsi="仿宋" w:eastAsia="仿宋" w:cs="仿宋"/>
                <w:sz w:val="24"/>
              </w:rPr>
            </w:pPr>
          </w:p>
        </w:tc>
        <w:tc>
          <w:tcPr>
            <w:tcW w:w="873" w:type="pct"/>
            <w:gridSpan w:val="4"/>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省住房城乡建设厅表彰</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24</w:t>
            </w:r>
          </w:p>
        </w:tc>
        <w:tc>
          <w:tcPr>
            <w:tcW w:w="314" w:type="pct"/>
            <w:vMerge w:val="continue"/>
            <w:vAlign w:val="center"/>
          </w:tcPr>
          <w:p>
            <w:pPr>
              <w:spacing w:line="360" w:lineRule="exact"/>
              <w:jc w:val="center"/>
              <w:rPr>
                <w:rFonts w:ascii="仿宋" w:hAnsi="仿宋" w:eastAsia="仿宋" w:cs="仿宋"/>
                <w:sz w:val="24"/>
              </w:rPr>
            </w:pPr>
          </w:p>
        </w:tc>
        <w:tc>
          <w:tcPr>
            <w:tcW w:w="873" w:type="pct"/>
            <w:gridSpan w:val="4"/>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省住房城乡建设厅经验介绍推广、工程观摩</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25</w:t>
            </w:r>
          </w:p>
        </w:tc>
        <w:tc>
          <w:tcPr>
            <w:tcW w:w="314" w:type="pct"/>
            <w:vAlign w:val="center"/>
          </w:tcPr>
          <w:p>
            <w:pPr>
              <w:spacing w:line="360" w:lineRule="exact"/>
              <w:jc w:val="center"/>
              <w:rPr>
                <w:rFonts w:ascii="仿宋" w:hAnsi="仿宋" w:eastAsia="仿宋" w:cs="仿宋"/>
                <w:sz w:val="24"/>
              </w:rPr>
            </w:pPr>
          </w:p>
        </w:tc>
        <w:tc>
          <w:tcPr>
            <w:tcW w:w="873" w:type="pct"/>
            <w:gridSpan w:val="4"/>
            <w:vMerge w:val="restart"/>
            <w:vAlign w:val="center"/>
          </w:tcPr>
          <w:p>
            <w:pPr>
              <w:spacing w:line="360" w:lineRule="exact"/>
              <w:rPr>
                <w:rFonts w:ascii="仿宋" w:hAnsi="仿宋" w:eastAsia="仿宋" w:cs="仿宋"/>
                <w:sz w:val="24"/>
              </w:rPr>
            </w:pPr>
            <w:r>
              <w:rPr>
                <w:rFonts w:hint="eastAsia" w:ascii="仿宋" w:hAnsi="仿宋" w:eastAsia="仿宋" w:cs="仿宋"/>
                <w:sz w:val="24"/>
              </w:rPr>
              <w:t>市优工程</w:t>
            </w:r>
          </w:p>
        </w:tc>
        <w:tc>
          <w:tcPr>
            <w:tcW w:w="2742" w:type="pct"/>
            <w:vAlign w:val="center"/>
          </w:tcPr>
          <w:p>
            <w:pPr>
              <w:spacing w:line="360" w:lineRule="exact"/>
              <w:rPr>
                <w:rFonts w:ascii="仿宋" w:hAnsi="仿宋" w:eastAsia="仿宋" w:cs="仿宋"/>
                <w:color w:val="000000"/>
                <w:sz w:val="24"/>
              </w:rPr>
            </w:pPr>
            <w:r>
              <w:rPr>
                <w:rFonts w:hint="eastAsia" w:ascii="仿宋" w:hAnsi="仿宋" w:eastAsia="仿宋" w:cs="仿宋"/>
                <w:color w:val="000000"/>
                <w:sz w:val="24"/>
              </w:rPr>
              <w:t>榆林杯</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26</w:t>
            </w:r>
          </w:p>
        </w:tc>
        <w:tc>
          <w:tcPr>
            <w:tcW w:w="314" w:type="pct"/>
            <w:vMerge w:val="restart"/>
            <w:vAlign w:val="center"/>
          </w:tcPr>
          <w:p>
            <w:pPr>
              <w:spacing w:line="360" w:lineRule="exact"/>
              <w:jc w:val="center"/>
              <w:rPr>
                <w:rFonts w:ascii="仿宋" w:hAnsi="仿宋" w:eastAsia="仿宋" w:cs="仿宋"/>
                <w:sz w:val="24"/>
              </w:rPr>
            </w:pPr>
            <w:r>
              <w:rPr>
                <w:rFonts w:hint="eastAsia" w:ascii="仿宋" w:hAnsi="仿宋" w:eastAsia="仿宋" w:cs="仿宋"/>
                <w:sz w:val="24"/>
              </w:rPr>
              <w:t>市级</w:t>
            </w:r>
          </w:p>
        </w:tc>
        <w:tc>
          <w:tcPr>
            <w:tcW w:w="873" w:type="pct"/>
            <w:gridSpan w:val="4"/>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sz w:val="24"/>
              </w:rPr>
            </w:pPr>
            <w:r>
              <w:rPr>
                <w:rFonts w:hint="eastAsia" w:ascii="仿宋" w:hAnsi="仿宋" w:eastAsia="仿宋" w:cs="仿宋"/>
                <w:color w:val="000000"/>
                <w:sz w:val="24"/>
              </w:rPr>
              <w:t>市优质奖</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27</w:t>
            </w:r>
          </w:p>
        </w:tc>
        <w:tc>
          <w:tcPr>
            <w:tcW w:w="314" w:type="pct"/>
            <w:vMerge w:val="continue"/>
            <w:vAlign w:val="center"/>
          </w:tcPr>
          <w:p>
            <w:pPr>
              <w:spacing w:line="360" w:lineRule="exact"/>
              <w:jc w:val="center"/>
              <w:rPr>
                <w:rFonts w:ascii="仿宋" w:hAnsi="仿宋" w:eastAsia="仿宋" w:cs="仿宋"/>
                <w:sz w:val="24"/>
              </w:rPr>
            </w:pPr>
          </w:p>
        </w:tc>
        <w:tc>
          <w:tcPr>
            <w:tcW w:w="873" w:type="pct"/>
            <w:gridSpan w:val="4"/>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w w:val="90"/>
                <w:sz w:val="24"/>
              </w:rPr>
            </w:pPr>
            <w:r>
              <w:rPr>
                <w:rFonts w:hint="eastAsia" w:ascii="仿宋" w:hAnsi="仿宋" w:eastAsia="仿宋" w:cs="仿宋"/>
                <w:color w:val="000000"/>
                <w:w w:val="90"/>
                <w:sz w:val="24"/>
              </w:rPr>
              <w:t>市建筑工程优质结构奖</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28</w:t>
            </w:r>
          </w:p>
        </w:tc>
        <w:tc>
          <w:tcPr>
            <w:tcW w:w="314" w:type="pct"/>
            <w:vMerge w:val="continue"/>
            <w:vAlign w:val="center"/>
          </w:tcPr>
          <w:p>
            <w:pPr>
              <w:spacing w:line="360" w:lineRule="exact"/>
              <w:jc w:val="center"/>
              <w:rPr>
                <w:rFonts w:ascii="仿宋" w:hAnsi="仿宋" w:eastAsia="仿宋" w:cs="仿宋"/>
                <w:sz w:val="24"/>
              </w:rPr>
            </w:pPr>
          </w:p>
        </w:tc>
        <w:tc>
          <w:tcPr>
            <w:tcW w:w="470" w:type="pct"/>
            <w:gridSpan w:val="3"/>
            <w:vMerge w:val="restart"/>
            <w:vAlign w:val="center"/>
          </w:tcPr>
          <w:p>
            <w:pPr>
              <w:spacing w:line="360" w:lineRule="exact"/>
              <w:rPr>
                <w:rFonts w:ascii="仿宋" w:hAnsi="仿宋" w:eastAsia="仿宋" w:cs="仿宋"/>
                <w:sz w:val="24"/>
              </w:rPr>
            </w:pPr>
          </w:p>
        </w:tc>
        <w:tc>
          <w:tcPr>
            <w:tcW w:w="403" w:type="pct"/>
            <w:vMerge w:val="restart"/>
            <w:vAlign w:val="center"/>
          </w:tcPr>
          <w:p>
            <w:pPr>
              <w:spacing w:line="360" w:lineRule="exact"/>
              <w:rPr>
                <w:rFonts w:ascii="仿宋" w:hAnsi="仿宋" w:eastAsia="仿宋" w:cs="仿宋"/>
                <w:sz w:val="24"/>
              </w:rPr>
            </w:pPr>
            <w:r>
              <w:rPr>
                <w:rFonts w:hint="eastAsia" w:ascii="仿宋" w:hAnsi="仿宋" w:eastAsia="仿宋" w:cs="仿宋"/>
                <w:sz w:val="24"/>
              </w:rPr>
              <w:t>安全文明生产</w:t>
            </w:r>
          </w:p>
        </w:tc>
        <w:tc>
          <w:tcPr>
            <w:tcW w:w="2742" w:type="pct"/>
            <w:vAlign w:val="center"/>
          </w:tcPr>
          <w:p>
            <w:pPr>
              <w:widowControl/>
              <w:spacing w:line="360" w:lineRule="exact"/>
              <w:rPr>
                <w:rFonts w:ascii="仿宋" w:hAnsi="仿宋" w:eastAsia="仿宋" w:cs="仿宋"/>
                <w:color w:val="000000"/>
                <w:sz w:val="24"/>
              </w:rPr>
            </w:pPr>
            <w:r>
              <w:rPr>
                <w:rFonts w:hint="eastAsia" w:ascii="仿宋" w:hAnsi="仿宋" w:eastAsia="仿宋" w:cs="仿宋"/>
                <w:color w:val="000000"/>
                <w:sz w:val="24"/>
              </w:rPr>
              <w:t>市房屋市政施工安全文明工地</w:t>
            </w:r>
          </w:p>
        </w:tc>
        <w:tc>
          <w:tcPr>
            <w:tcW w:w="789" w:type="pct"/>
            <w:vAlign w:val="center"/>
          </w:tcPr>
          <w:p>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29</w:t>
            </w:r>
          </w:p>
        </w:tc>
        <w:tc>
          <w:tcPr>
            <w:tcW w:w="314" w:type="pct"/>
            <w:vMerge w:val="continue"/>
            <w:vAlign w:val="center"/>
          </w:tcPr>
          <w:p>
            <w:pPr>
              <w:spacing w:line="360" w:lineRule="exact"/>
              <w:jc w:val="center"/>
              <w:rPr>
                <w:rFonts w:ascii="仿宋" w:hAnsi="仿宋" w:eastAsia="仿宋" w:cs="仿宋"/>
                <w:sz w:val="24"/>
              </w:rPr>
            </w:pPr>
          </w:p>
        </w:tc>
        <w:tc>
          <w:tcPr>
            <w:tcW w:w="470" w:type="pct"/>
            <w:gridSpan w:val="3"/>
            <w:vMerge w:val="continue"/>
            <w:vAlign w:val="center"/>
          </w:tcPr>
          <w:p>
            <w:pPr>
              <w:spacing w:line="360" w:lineRule="exact"/>
              <w:rPr>
                <w:rFonts w:ascii="仿宋" w:hAnsi="仿宋" w:eastAsia="仿宋" w:cs="仿宋"/>
                <w:sz w:val="24"/>
              </w:rPr>
            </w:pPr>
          </w:p>
        </w:tc>
        <w:tc>
          <w:tcPr>
            <w:tcW w:w="403" w:type="pct"/>
            <w:vMerge w:val="continue"/>
            <w:vAlign w:val="center"/>
          </w:tcPr>
          <w:p>
            <w:pPr>
              <w:spacing w:line="360" w:lineRule="exact"/>
              <w:rPr>
                <w:rFonts w:ascii="仿宋" w:hAnsi="仿宋" w:eastAsia="仿宋" w:cs="仿宋"/>
                <w:sz w:val="24"/>
              </w:rPr>
            </w:pPr>
          </w:p>
        </w:tc>
        <w:tc>
          <w:tcPr>
            <w:tcW w:w="2742" w:type="pct"/>
            <w:vAlign w:val="center"/>
          </w:tcPr>
          <w:p>
            <w:pPr>
              <w:widowControl/>
              <w:spacing w:line="360" w:lineRule="exact"/>
              <w:rPr>
                <w:rFonts w:ascii="仿宋" w:hAnsi="仿宋" w:eastAsia="仿宋" w:cs="仿宋"/>
                <w:color w:val="000000"/>
                <w:sz w:val="24"/>
              </w:rPr>
            </w:pPr>
            <w:r>
              <w:rPr>
                <w:rFonts w:hint="eastAsia" w:ascii="仿宋" w:hAnsi="仿宋" w:eastAsia="仿宋" w:cs="仿宋"/>
                <w:color w:val="000000"/>
                <w:sz w:val="24"/>
              </w:rPr>
              <w:t>建筑施工双重预防体系建设市级标杆企业</w:t>
            </w:r>
          </w:p>
        </w:tc>
        <w:tc>
          <w:tcPr>
            <w:tcW w:w="789" w:type="pct"/>
            <w:vAlign w:val="center"/>
          </w:tcPr>
          <w:p>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30</w:t>
            </w:r>
          </w:p>
        </w:tc>
        <w:tc>
          <w:tcPr>
            <w:tcW w:w="314" w:type="pct"/>
            <w:vMerge w:val="continue"/>
            <w:vAlign w:val="center"/>
          </w:tcPr>
          <w:p>
            <w:pPr>
              <w:spacing w:line="360" w:lineRule="exact"/>
              <w:jc w:val="center"/>
              <w:rPr>
                <w:rFonts w:ascii="仿宋" w:hAnsi="仿宋" w:eastAsia="仿宋" w:cs="仿宋"/>
                <w:sz w:val="24"/>
              </w:rPr>
            </w:pPr>
          </w:p>
        </w:tc>
        <w:tc>
          <w:tcPr>
            <w:tcW w:w="470" w:type="pct"/>
            <w:gridSpan w:val="3"/>
            <w:vMerge w:val="continue"/>
            <w:vAlign w:val="center"/>
          </w:tcPr>
          <w:p>
            <w:pPr>
              <w:spacing w:line="360" w:lineRule="exact"/>
              <w:rPr>
                <w:rFonts w:ascii="仿宋" w:hAnsi="仿宋" w:eastAsia="仿宋" w:cs="仿宋"/>
                <w:sz w:val="24"/>
              </w:rPr>
            </w:pPr>
          </w:p>
        </w:tc>
        <w:tc>
          <w:tcPr>
            <w:tcW w:w="403" w:type="pct"/>
            <w:vAlign w:val="center"/>
          </w:tcPr>
          <w:p>
            <w:pPr>
              <w:spacing w:line="360" w:lineRule="exact"/>
              <w:rPr>
                <w:rFonts w:ascii="仿宋" w:hAnsi="仿宋" w:eastAsia="仿宋" w:cs="仿宋"/>
                <w:sz w:val="24"/>
              </w:rPr>
            </w:pPr>
            <w:r>
              <w:rPr>
                <w:rFonts w:hint="eastAsia" w:ascii="仿宋" w:hAnsi="仿宋" w:eastAsia="仿宋" w:cs="仿宋"/>
                <w:sz w:val="24"/>
              </w:rPr>
              <w:t>科技进步</w:t>
            </w:r>
          </w:p>
        </w:tc>
        <w:tc>
          <w:tcPr>
            <w:tcW w:w="2742" w:type="pct"/>
            <w:vAlign w:val="center"/>
          </w:tcPr>
          <w:p>
            <w:pPr>
              <w:widowControl/>
              <w:spacing w:line="360" w:lineRule="exact"/>
              <w:rPr>
                <w:rFonts w:ascii="仿宋" w:hAnsi="仿宋" w:eastAsia="仿宋" w:cs="仿宋"/>
                <w:color w:val="000000"/>
                <w:w w:val="90"/>
                <w:sz w:val="24"/>
              </w:rPr>
            </w:pPr>
            <w:r>
              <w:rPr>
                <w:rFonts w:hint="eastAsia" w:ascii="仿宋" w:hAnsi="仿宋" w:eastAsia="仿宋" w:cs="仿宋"/>
                <w:color w:val="000000"/>
                <w:w w:val="90"/>
                <w:sz w:val="24"/>
              </w:rPr>
              <w:t>市绿色施工科技示范工程</w:t>
            </w:r>
          </w:p>
        </w:tc>
        <w:tc>
          <w:tcPr>
            <w:tcW w:w="789" w:type="pct"/>
            <w:vAlign w:val="center"/>
          </w:tcPr>
          <w:p>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31</w:t>
            </w:r>
          </w:p>
        </w:tc>
        <w:tc>
          <w:tcPr>
            <w:tcW w:w="314" w:type="pct"/>
            <w:vMerge w:val="continue"/>
            <w:vAlign w:val="center"/>
          </w:tcPr>
          <w:p>
            <w:pPr>
              <w:spacing w:line="360" w:lineRule="exact"/>
              <w:jc w:val="center"/>
              <w:rPr>
                <w:rFonts w:ascii="仿宋" w:hAnsi="仿宋" w:eastAsia="仿宋" w:cs="仿宋"/>
                <w:sz w:val="24"/>
              </w:rPr>
            </w:pPr>
          </w:p>
        </w:tc>
        <w:tc>
          <w:tcPr>
            <w:tcW w:w="873" w:type="pct"/>
            <w:gridSpan w:val="4"/>
            <w:vMerge w:val="restart"/>
            <w:vAlign w:val="center"/>
          </w:tcPr>
          <w:p>
            <w:pPr>
              <w:spacing w:line="360" w:lineRule="exact"/>
              <w:rPr>
                <w:rFonts w:ascii="仿宋" w:hAnsi="仿宋" w:eastAsia="仿宋" w:cs="仿宋"/>
                <w:sz w:val="24"/>
              </w:rPr>
            </w:pPr>
            <w:r>
              <w:rPr>
                <w:rFonts w:hint="eastAsia" w:ascii="仿宋" w:hAnsi="仿宋" w:eastAsia="仿宋" w:cs="仿宋"/>
                <w:sz w:val="24"/>
              </w:rPr>
              <w:t>市级表彰</w:t>
            </w:r>
          </w:p>
        </w:tc>
        <w:tc>
          <w:tcPr>
            <w:tcW w:w="2742" w:type="pct"/>
            <w:vAlign w:val="center"/>
          </w:tcPr>
          <w:p>
            <w:pPr>
              <w:widowControl/>
              <w:spacing w:line="360" w:lineRule="exact"/>
              <w:rPr>
                <w:rFonts w:ascii="仿宋" w:hAnsi="仿宋" w:eastAsia="仿宋" w:cs="仿宋"/>
                <w:color w:val="000000"/>
                <w:sz w:val="24"/>
              </w:rPr>
            </w:pPr>
            <w:r>
              <w:rPr>
                <w:rFonts w:hint="eastAsia" w:ascii="仿宋" w:hAnsi="仿宋" w:eastAsia="仿宋" w:cs="仿宋"/>
                <w:color w:val="000000"/>
                <w:sz w:val="24"/>
              </w:rPr>
              <w:t>市政府表彰</w:t>
            </w:r>
          </w:p>
        </w:tc>
        <w:tc>
          <w:tcPr>
            <w:tcW w:w="789" w:type="pct"/>
            <w:vAlign w:val="center"/>
          </w:tcPr>
          <w:p>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32</w:t>
            </w:r>
          </w:p>
        </w:tc>
        <w:tc>
          <w:tcPr>
            <w:tcW w:w="314" w:type="pct"/>
            <w:vMerge w:val="continue"/>
            <w:vAlign w:val="center"/>
          </w:tcPr>
          <w:p>
            <w:pPr>
              <w:spacing w:line="360" w:lineRule="exact"/>
              <w:jc w:val="center"/>
              <w:rPr>
                <w:rFonts w:ascii="仿宋" w:hAnsi="仿宋" w:eastAsia="仿宋" w:cs="仿宋"/>
                <w:sz w:val="24"/>
              </w:rPr>
            </w:pPr>
          </w:p>
        </w:tc>
        <w:tc>
          <w:tcPr>
            <w:tcW w:w="873" w:type="pct"/>
            <w:gridSpan w:val="4"/>
            <w:vMerge w:val="continue"/>
            <w:vAlign w:val="center"/>
          </w:tcPr>
          <w:p>
            <w:pPr>
              <w:spacing w:line="360" w:lineRule="exact"/>
              <w:rPr>
                <w:rFonts w:ascii="仿宋" w:hAnsi="仿宋" w:eastAsia="仿宋" w:cs="仿宋"/>
                <w:sz w:val="24"/>
              </w:rPr>
            </w:pPr>
          </w:p>
        </w:tc>
        <w:tc>
          <w:tcPr>
            <w:tcW w:w="2742" w:type="pct"/>
            <w:vAlign w:val="center"/>
          </w:tcPr>
          <w:p>
            <w:pPr>
              <w:widowControl/>
              <w:spacing w:line="360" w:lineRule="exact"/>
              <w:rPr>
                <w:rFonts w:ascii="仿宋" w:hAnsi="仿宋" w:eastAsia="仿宋" w:cs="仿宋"/>
                <w:color w:val="000000"/>
                <w:sz w:val="24"/>
              </w:rPr>
            </w:pPr>
            <w:r>
              <w:rPr>
                <w:rFonts w:hint="eastAsia" w:ascii="仿宋" w:hAnsi="仿宋" w:eastAsia="仿宋" w:cs="仿宋"/>
                <w:color w:val="000000"/>
                <w:sz w:val="24"/>
              </w:rPr>
              <w:t>市级其他行政主管部门列入“红名单”</w:t>
            </w:r>
          </w:p>
        </w:tc>
        <w:tc>
          <w:tcPr>
            <w:tcW w:w="789" w:type="pct"/>
            <w:vAlign w:val="center"/>
          </w:tcPr>
          <w:p>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33</w:t>
            </w:r>
          </w:p>
        </w:tc>
        <w:tc>
          <w:tcPr>
            <w:tcW w:w="314" w:type="pct"/>
            <w:vMerge w:val="continue"/>
            <w:vAlign w:val="center"/>
          </w:tcPr>
          <w:p>
            <w:pPr>
              <w:spacing w:line="360" w:lineRule="exact"/>
              <w:jc w:val="center"/>
              <w:rPr>
                <w:rFonts w:ascii="仿宋" w:hAnsi="仿宋" w:eastAsia="仿宋" w:cs="仿宋"/>
                <w:sz w:val="24"/>
              </w:rPr>
            </w:pPr>
          </w:p>
        </w:tc>
        <w:tc>
          <w:tcPr>
            <w:tcW w:w="873" w:type="pct"/>
            <w:gridSpan w:val="4"/>
            <w:vMerge w:val="continue"/>
            <w:vAlign w:val="center"/>
          </w:tcPr>
          <w:p>
            <w:pPr>
              <w:spacing w:line="360" w:lineRule="exact"/>
              <w:rPr>
                <w:rFonts w:ascii="仿宋" w:hAnsi="仿宋" w:eastAsia="仿宋" w:cs="仿宋"/>
                <w:sz w:val="24"/>
              </w:rPr>
            </w:pPr>
          </w:p>
        </w:tc>
        <w:tc>
          <w:tcPr>
            <w:tcW w:w="2742" w:type="pct"/>
            <w:vAlign w:val="center"/>
          </w:tcPr>
          <w:p>
            <w:pPr>
              <w:widowControl/>
              <w:spacing w:line="360" w:lineRule="exact"/>
              <w:rPr>
                <w:rFonts w:ascii="仿宋" w:hAnsi="仿宋" w:eastAsia="仿宋" w:cs="仿宋"/>
                <w:color w:val="000000"/>
                <w:w w:val="90"/>
                <w:sz w:val="24"/>
              </w:rPr>
            </w:pPr>
            <w:r>
              <w:rPr>
                <w:rFonts w:hint="eastAsia" w:ascii="仿宋" w:hAnsi="仿宋" w:eastAsia="仿宋" w:cs="仿宋"/>
                <w:color w:val="000000"/>
                <w:w w:val="90"/>
                <w:sz w:val="24"/>
              </w:rPr>
              <w:t>市住建局表彰</w:t>
            </w:r>
          </w:p>
        </w:tc>
        <w:tc>
          <w:tcPr>
            <w:tcW w:w="789" w:type="pct"/>
            <w:vAlign w:val="center"/>
          </w:tcPr>
          <w:p>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34</w:t>
            </w:r>
          </w:p>
        </w:tc>
        <w:tc>
          <w:tcPr>
            <w:tcW w:w="314" w:type="pct"/>
            <w:vMerge w:val="continue"/>
            <w:vAlign w:val="center"/>
          </w:tcPr>
          <w:p>
            <w:pPr>
              <w:spacing w:line="360" w:lineRule="exact"/>
              <w:jc w:val="center"/>
              <w:rPr>
                <w:rFonts w:ascii="仿宋" w:hAnsi="仿宋" w:eastAsia="仿宋" w:cs="仿宋"/>
                <w:sz w:val="24"/>
              </w:rPr>
            </w:pPr>
          </w:p>
        </w:tc>
        <w:tc>
          <w:tcPr>
            <w:tcW w:w="873" w:type="pct"/>
            <w:gridSpan w:val="4"/>
            <w:vMerge w:val="continue"/>
            <w:vAlign w:val="center"/>
          </w:tcPr>
          <w:p>
            <w:pPr>
              <w:spacing w:line="360" w:lineRule="exact"/>
              <w:rPr>
                <w:rFonts w:ascii="仿宋" w:hAnsi="仿宋" w:eastAsia="仿宋" w:cs="仿宋"/>
                <w:sz w:val="24"/>
              </w:rPr>
            </w:pPr>
          </w:p>
        </w:tc>
        <w:tc>
          <w:tcPr>
            <w:tcW w:w="2742" w:type="pct"/>
            <w:vAlign w:val="center"/>
          </w:tcPr>
          <w:p>
            <w:pPr>
              <w:widowControl/>
              <w:spacing w:line="360" w:lineRule="exact"/>
              <w:rPr>
                <w:rFonts w:ascii="仿宋" w:hAnsi="仿宋" w:eastAsia="仿宋" w:cs="仿宋"/>
                <w:color w:val="000000"/>
                <w:sz w:val="24"/>
              </w:rPr>
            </w:pPr>
            <w:r>
              <w:rPr>
                <w:rFonts w:hint="eastAsia" w:ascii="仿宋" w:hAnsi="仿宋" w:eastAsia="仿宋" w:cs="仿宋"/>
                <w:color w:val="000000"/>
                <w:sz w:val="24"/>
              </w:rPr>
              <w:t>市住房和城乡建设局经验介绍推广、工程观摩</w:t>
            </w:r>
          </w:p>
        </w:tc>
        <w:tc>
          <w:tcPr>
            <w:tcW w:w="789" w:type="pct"/>
            <w:vAlign w:val="center"/>
          </w:tcPr>
          <w:p>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35</w:t>
            </w:r>
          </w:p>
        </w:tc>
        <w:tc>
          <w:tcPr>
            <w:tcW w:w="314" w:type="pct"/>
            <w:vMerge w:val="restart"/>
            <w:vAlign w:val="center"/>
          </w:tcPr>
          <w:p>
            <w:pPr>
              <w:spacing w:line="360" w:lineRule="exact"/>
              <w:jc w:val="center"/>
              <w:rPr>
                <w:rFonts w:ascii="仿宋" w:hAnsi="仿宋" w:eastAsia="仿宋" w:cs="仿宋"/>
                <w:sz w:val="24"/>
              </w:rPr>
            </w:pPr>
            <w:r>
              <w:rPr>
                <w:rFonts w:hint="eastAsia" w:ascii="仿宋" w:hAnsi="仿宋" w:eastAsia="仿宋" w:cs="仿宋"/>
                <w:sz w:val="24"/>
              </w:rPr>
              <w:t>区县级</w:t>
            </w:r>
          </w:p>
        </w:tc>
        <w:tc>
          <w:tcPr>
            <w:tcW w:w="873" w:type="pct"/>
            <w:gridSpan w:val="4"/>
            <w:vMerge w:val="restart"/>
            <w:vAlign w:val="center"/>
          </w:tcPr>
          <w:p>
            <w:pPr>
              <w:spacing w:line="360" w:lineRule="exact"/>
              <w:rPr>
                <w:rFonts w:ascii="仿宋" w:hAnsi="仿宋" w:eastAsia="仿宋" w:cs="仿宋"/>
                <w:sz w:val="24"/>
              </w:rPr>
            </w:pPr>
            <w:r>
              <w:rPr>
                <w:rFonts w:hint="eastAsia" w:ascii="仿宋" w:hAnsi="仿宋" w:eastAsia="仿宋" w:cs="仿宋"/>
                <w:sz w:val="24"/>
              </w:rPr>
              <w:t>区县级表彰</w:t>
            </w: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县（区、市）政府（管委会）表彰</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36</w:t>
            </w:r>
          </w:p>
        </w:tc>
        <w:tc>
          <w:tcPr>
            <w:tcW w:w="314" w:type="pct"/>
            <w:vMerge w:val="continue"/>
            <w:vAlign w:val="center"/>
          </w:tcPr>
          <w:p>
            <w:pPr>
              <w:spacing w:line="360" w:lineRule="exact"/>
              <w:jc w:val="center"/>
              <w:rPr>
                <w:rFonts w:ascii="仿宋" w:hAnsi="仿宋" w:eastAsia="仿宋" w:cs="仿宋"/>
                <w:sz w:val="24"/>
              </w:rPr>
            </w:pPr>
          </w:p>
        </w:tc>
        <w:tc>
          <w:tcPr>
            <w:tcW w:w="873" w:type="pct"/>
            <w:gridSpan w:val="4"/>
            <w:vMerge w:val="continue"/>
            <w:vAlign w:val="center"/>
          </w:tcPr>
          <w:p>
            <w:pPr>
              <w:spacing w:line="360" w:lineRule="exact"/>
              <w:rPr>
                <w:rFonts w:ascii="仿宋" w:hAnsi="仿宋" w:eastAsia="仿宋" w:cs="仿宋"/>
                <w:sz w:val="24"/>
              </w:rPr>
            </w:pPr>
          </w:p>
        </w:tc>
        <w:tc>
          <w:tcPr>
            <w:tcW w:w="2742" w:type="pct"/>
            <w:vAlign w:val="center"/>
          </w:tcPr>
          <w:p>
            <w:pPr>
              <w:spacing w:line="360" w:lineRule="exact"/>
              <w:rPr>
                <w:rFonts w:ascii="仿宋" w:hAnsi="仿宋" w:eastAsia="仿宋" w:cs="仿宋"/>
                <w:w w:val="90"/>
                <w:sz w:val="24"/>
              </w:rPr>
            </w:pPr>
            <w:r>
              <w:rPr>
                <w:rFonts w:hint="eastAsia" w:ascii="仿宋" w:hAnsi="仿宋" w:eastAsia="仿宋" w:cs="仿宋"/>
                <w:color w:val="000000"/>
                <w:w w:val="90"/>
                <w:sz w:val="24"/>
              </w:rPr>
              <w:t>县（区、市）住建局表彰</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37</w:t>
            </w:r>
          </w:p>
        </w:tc>
        <w:tc>
          <w:tcPr>
            <w:tcW w:w="1188" w:type="pct"/>
            <w:gridSpan w:val="5"/>
            <w:vAlign w:val="center"/>
          </w:tcPr>
          <w:p>
            <w:pPr>
              <w:spacing w:line="360" w:lineRule="exact"/>
              <w:rPr>
                <w:rFonts w:ascii="仿宋" w:hAnsi="仿宋" w:eastAsia="仿宋" w:cs="仿宋"/>
                <w:sz w:val="24"/>
              </w:rPr>
            </w:pPr>
            <w:r>
              <w:rPr>
                <w:rFonts w:hint="eastAsia" w:ascii="仿宋" w:hAnsi="仿宋" w:eastAsia="仿宋" w:cs="仿宋"/>
                <w:sz w:val="24"/>
              </w:rPr>
              <w:t>综合项目</w:t>
            </w:r>
          </w:p>
        </w:tc>
        <w:tc>
          <w:tcPr>
            <w:tcW w:w="2742" w:type="pct"/>
            <w:vAlign w:val="center"/>
          </w:tcPr>
          <w:p>
            <w:pPr>
              <w:spacing w:line="360" w:lineRule="exact"/>
              <w:rPr>
                <w:rFonts w:ascii="仿宋" w:hAnsi="仿宋" w:eastAsia="仿宋" w:cs="仿宋"/>
                <w:sz w:val="24"/>
              </w:rPr>
            </w:pPr>
            <w:r>
              <w:rPr>
                <w:rFonts w:hint="eastAsia" w:ascii="仿宋" w:hAnsi="仿宋" w:eastAsia="仿宋" w:cs="仿宋"/>
                <w:sz w:val="24"/>
              </w:rPr>
              <w:t>工程业绩</w:t>
            </w:r>
          </w:p>
        </w:tc>
        <w:tc>
          <w:tcPr>
            <w:tcW w:w="789" w:type="pct"/>
            <w:vAlign w:val="center"/>
          </w:tcPr>
          <w:p>
            <w:pPr>
              <w:spacing w:line="360" w:lineRule="exact"/>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38</w:t>
            </w:r>
          </w:p>
        </w:tc>
        <w:tc>
          <w:tcPr>
            <w:tcW w:w="1188" w:type="pct"/>
            <w:gridSpan w:val="5"/>
            <w:vMerge w:val="restart"/>
            <w:vAlign w:val="center"/>
          </w:tcPr>
          <w:p>
            <w:pPr>
              <w:spacing w:line="360" w:lineRule="exact"/>
              <w:rPr>
                <w:rFonts w:ascii="仿宋" w:hAnsi="仿宋" w:eastAsia="仿宋" w:cs="仿宋"/>
                <w:sz w:val="24"/>
              </w:rPr>
            </w:pPr>
            <w:r>
              <w:rPr>
                <w:rFonts w:hint="eastAsia" w:ascii="仿宋" w:hAnsi="仿宋" w:eastAsia="仿宋" w:cs="仿宋"/>
                <w:sz w:val="24"/>
              </w:rPr>
              <w:t>其他</w:t>
            </w:r>
          </w:p>
        </w:tc>
        <w:tc>
          <w:tcPr>
            <w:tcW w:w="2742" w:type="pct"/>
            <w:vAlign w:val="center"/>
          </w:tcPr>
          <w:p>
            <w:pPr>
              <w:widowControl/>
              <w:spacing w:line="360" w:lineRule="exact"/>
              <w:rPr>
                <w:rFonts w:ascii="仿宋" w:hAnsi="仿宋" w:eastAsia="仿宋" w:cs="仿宋"/>
                <w:sz w:val="24"/>
              </w:rPr>
            </w:pPr>
            <w:r>
              <w:rPr>
                <w:rFonts w:hint="eastAsia" w:ascii="仿宋" w:hAnsi="仿宋" w:eastAsia="仿宋" w:cs="仿宋"/>
                <w:color w:val="000000"/>
                <w:sz w:val="24"/>
              </w:rPr>
              <w:t>参与扶贫、乡村振兴、抢险救灾、防疫等</w:t>
            </w:r>
          </w:p>
        </w:tc>
        <w:tc>
          <w:tcPr>
            <w:tcW w:w="789" w:type="pct"/>
            <w:vAlign w:val="center"/>
          </w:tcPr>
          <w:p>
            <w:pPr>
              <w:widowControl/>
              <w:spacing w:line="360" w:lineRule="exact"/>
              <w:jc w:val="center"/>
              <w:rPr>
                <w:rFonts w:ascii="仿宋" w:hAnsi="仿宋" w:eastAsia="仿宋" w:cs="仿宋"/>
                <w:sz w:val="24"/>
              </w:rPr>
            </w:pPr>
            <w:r>
              <w:rPr>
                <w:rFonts w:hint="eastAsia" w:ascii="仿宋" w:hAnsi="仿宋" w:eastAsia="仿宋" w:cs="仿宋"/>
                <w:color w:val="00000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 w:type="pct"/>
            <w:vAlign w:val="center"/>
          </w:tcPr>
          <w:p>
            <w:pPr>
              <w:spacing w:line="360" w:lineRule="exact"/>
              <w:jc w:val="center"/>
              <w:rPr>
                <w:rFonts w:ascii="仿宋" w:hAnsi="仿宋" w:eastAsia="仿宋" w:cs="仿宋"/>
                <w:sz w:val="24"/>
              </w:rPr>
            </w:pPr>
            <w:r>
              <w:rPr>
                <w:rFonts w:hint="eastAsia" w:ascii="仿宋" w:hAnsi="仿宋" w:eastAsia="仿宋" w:cs="仿宋"/>
                <w:sz w:val="24"/>
              </w:rPr>
              <w:t>39</w:t>
            </w:r>
          </w:p>
        </w:tc>
        <w:tc>
          <w:tcPr>
            <w:tcW w:w="1188" w:type="pct"/>
            <w:gridSpan w:val="5"/>
            <w:vMerge w:val="continue"/>
            <w:vAlign w:val="center"/>
          </w:tcPr>
          <w:p>
            <w:pPr>
              <w:spacing w:line="360" w:lineRule="exact"/>
              <w:rPr>
                <w:rFonts w:ascii="仿宋" w:hAnsi="仿宋" w:eastAsia="仿宋" w:cs="仿宋"/>
                <w:sz w:val="24"/>
              </w:rPr>
            </w:pPr>
          </w:p>
        </w:tc>
        <w:tc>
          <w:tcPr>
            <w:tcW w:w="2742" w:type="pct"/>
            <w:vAlign w:val="center"/>
          </w:tcPr>
          <w:p>
            <w:pPr>
              <w:widowControl/>
              <w:spacing w:line="360" w:lineRule="exact"/>
              <w:rPr>
                <w:rFonts w:ascii="仿宋" w:hAnsi="仿宋" w:eastAsia="仿宋" w:cs="仿宋"/>
                <w:sz w:val="24"/>
              </w:rPr>
            </w:pPr>
            <w:r>
              <w:rPr>
                <w:rFonts w:hint="eastAsia" w:ascii="仿宋" w:hAnsi="仿宋" w:eastAsia="仿宋" w:cs="仿宋"/>
                <w:color w:val="000000"/>
                <w:sz w:val="24"/>
              </w:rPr>
              <w:t>未拖欠农民工工资</w:t>
            </w:r>
          </w:p>
        </w:tc>
        <w:tc>
          <w:tcPr>
            <w:tcW w:w="789" w:type="pct"/>
            <w:vAlign w:val="center"/>
          </w:tcPr>
          <w:p>
            <w:pPr>
              <w:widowControl/>
              <w:spacing w:line="360" w:lineRule="exact"/>
              <w:jc w:val="center"/>
              <w:rPr>
                <w:rFonts w:ascii="仿宋" w:hAnsi="仿宋" w:eastAsia="仿宋" w:cs="仿宋"/>
                <w:sz w:val="24"/>
              </w:rPr>
            </w:pPr>
            <w:r>
              <w:rPr>
                <w:rFonts w:hint="eastAsia" w:ascii="仿宋" w:hAnsi="仿宋" w:eastAsia="仿宋" w:cs="仿宋"/>
                <w:color w:val="000000"/>
                <w:sz w:val="24"/>
              </w:rPr>
              <w:t>1分</w:t>
            </w:r>
          </w:p>
        </w:tc>
      </w:tr>
    </w:tbl>
    <w:p>
      <w:pPr>
        <w:pStyle w:val="7"/>
        <w:adjustRightInd w:val="0"/>
        <w:snapToGrid w:val="0"/>
        <w:spacing w:beforeAutospacing="0" w:afterAutospacing="0" w:line="360" w:lineRule="exact"/>
        <w:ind w:firstLine="482" w:firstLineChars="200"/>
        <w:jc w:val="both"/>
        <w:rPr>
          <w:rFonts w:ascii="仿宋" w:hAnsi="仿宋" w:eastAsia="仿宋" w:cs="仿宋"/>
        </w:rPr>
      </w:pPr>
      <w:r>
        <w:rPr>
          <w:rFonts w:hint="eastAsia" w:ascii="仿宋" w:hAnsi="仿宋" w:eastAsia="仿宋" w:cs="仿宋"/>
          <w:b/>
        </w:rPr>
        <w:t>说明</w:t>
      </w:r>
      <w:r>
        <w:rPr>
          <w:rFonts w:hint="eastAsia" w:ascii="仿宋" w:hAnsi="仿宋" w:eastAsia="仿宋" w:cs="仿宋"/>
          <w:spacing w:val="-20"/>
        </w:rPr>
        <w:t>：</w:t>
      </w:r>
      <w:r>
        <w:rPr>
          <w:rFonts w:hint="eastAsia" w:ascii="仿宋" w:hAnsi="仿宋" w:eastAsia="仿宋" w:cs="仿宋"/>
        </w:rPr>
        <w:t>1.工程类别、项目不能重复加分；</w:t>
      </w:r>
    </w:p>
    <w:p>
      <w:pPr>
        <w:pStyle w:val="7"/>
        <w:adjustRightInd w:val="0"/>
        <w:snapToGrid w:val="0"/>
        <w:spacing w:beforeAutospacing="0" w:afterAutospacing="0" w:line="360" w:lineRule="exact"/>
        <w:ind w:firstLine="1200" w:firstLineChars="500"/>
        <w:jc w:val="both"/>
        <w:rPr>
          <w:rFonts w:ascii="仿宋" w:hAnsi="仿宋" w:eastAsia="仿宋" w:cs="仿宋"/>
        </w:rPr>
      </w:pPr>
      <w:r>
        <w:rPr>
          <w:rFonts w:hint="eastAsia" w:ascii="仿宋" w:hAnsi="仿宋" w:eastAsia="仿宋" w:cs="仿宋"/>
        </w:rPr>
        <w:t>2.工程业绩认定范围（该项最高不超过20分）；</w:t>
      </w:r>
    </w:p>
    <w:p>
      <w:pPr>
        <w:widowControl/>
        <w:adjustRightInd w:val="0"/>
        <w:snapToGrid w:val="0"/>
        <w:spacing w:line="360" w:lineRule="exact"/>
        <w:ind w:left="480" w:leftChars="218" w:firstLine="720" w:firstLineChars="300"/>
        <w:rPr>
          <w:rFonts w:ascii="黑体" w:hAnsi="黑体" w:eastAsia="仿宋" w:cs="黑体"/>
          <w:bCs/>
          <w:sz w:val="32"/>
          <w:szCs w:val="32"/>
        </w:rPr>
      </w:pPr>
      <w:r>
        <w:rPr>
          <w:rFonts w:hint="eastAsia" w:ascii="仿宋" w:hAnsi="仿宋" w:eastAsia="仿宋" w:cs="仿宋"/>
          <w:bCs/>
          <w:sz w:val="24"/>
        </w:rPr>
        <w:t>（1）</w:t>
      </w:r>
      <w:r>
        <w:rPr>
          <w:rFonts w:hint="eastAsia" w:ascii="仿宋" w:hAnsi="仿宋" w:eastAsia="仿宋" w:cs="仿宋"/>
          <w:sz w:val="24"/>
        </w:rPr>
        <w:t>施工企业工程业绩认定范围为企业当年度签订的合同，加分计算标准：建筑工程累加合同额每1000万元加2分；工程合同额低1000万元高500万元加1分，低500万元加0.5分。</w:t>
      </w:r>
    </w:p>
    <w:p>
      <w:pPr>
        <w:pStyle w:val="7"/>
        <w:spacing w:beforeAutospacing="0" w:after="120" w:afterLines="50" w:afterAutospacing="0" w:line="570" w:lineRule="exact"/>
        <w:jc w:val="center"/>
        <w:rPr>
          <w:rFonts w:ascii="黑体" w:hAnsi="黑体" w:eastAsia="黑体" w:cs="黑体"/>
          <w:bCs/>
          <w:sz w:val="32"/>
        </w:rPr>
      </w:pPr>
    </w:p>
    <w:p>
      <w:pPr>
        <w:widowControl/>
        <w:spacing w:line="540" w:lineRule="atLeast"/>
        <w:rPr>
          <w:rFonts w:hint="eastAsia" w:ascii="仿宋" w:hAnsi="仿宋" w:eastAsia="仿宋" w:cs="仿宋"/>
          <w:sz w:val="32"/>
          <w:szCs w:val="32"/>
        </w:rPr>
      </w:pPr>
    </w:p>
    <w:p>
      <w:pPr>
        <w:widowControl/>
        <w:spacing w:line="540" w:lineRule="atLeast"/>
        <w:rPr>
          <w:rFonts w:hint="eastAsia" w:ascii="仿宋" w:hAnsi="仿宋" w:eastAsia="仿宋" w:cs="仿宋"/>
          <w:sz w:val="32"/>
          <w:szCs w:val="32"/>
        </w:rPr>
      </w:pPr>
    </w:p>
    <w:p>
      <w:pPr>
        <w:widowControl/>
        <w:spacing w:line="540" w:lineRule="atLeast"/>
        <w:rPr>
          <w:rFonts w:hint="eastAsia" w:ascii="仿宋" w:hAnsi="仿宋" w:eastAsia="仿宋" w:cs="仿宋"/>
          <w:sz w:val="32"/>
          <w:szCs w:val="32"/>
        </w:rPr>
      </w:pPr>
    </w:p>
    <w:p>
      <w:pPr>
        <w:widowControl/>
        <w:spacing w:line="540" w:lineRule="atLeast"/>
        <w:rPr>
          <w:rFonts w:hint="eastAsia" w:ascii="仿宋" w:hAnsi="仿宋" w:eastAsia="仿宋" w:cs="仿宋"/>
          <w:sz w:val="32"/>
          <w:szCs w:val="32"/>
        </w:rPr>
      </w:pPr>
    </w:p>
    <w:p>
      <w:pPr>
        <w:widowControl/>
        <w:spacing w:line="540" w:lineRule="atLeast"/>
        <w:rPr>
          <w:rFonts w:hint="eastAsia" w:ascii="仿宋" w:hAnsi="仿宋" w:eastAsia="仿宋" w:cs="仿宋"/>
          <w:b/>
          <w:bCs/>
          <w:sz w:val="32"/>
          <w:szCs w:val="32"/>
        </w:rPr>
      </w:pPr>
    </w:p>
    <w:p>
      <w:pPr>
        <w:widowControl/>
        <w:spacing w:line="540" w:lineRule="atLeast"/>
        <w:rPr>
          <w:rFonts w:hint="eastAsia" w:ascii="仿宋" w:hAnsi="仿宋" w:eastAsia="仿宋" w:cs="仿宋"/>
          <w:b/>
          <w:bCs/>
          <w:sz w:val="32"/>
          <w:szCs w:val="32"/>
        </w:rPr>
      </w:pPr>
    </w:p>
    <w:p>
      <w:pPr>
        <w:widowControl/>
        <w:spacing w:line="540" w:lineRule="atLeast"/>
        <w:rPr>
          <w:rFonts w:ascii="仿宋" w:hAnsi="仿宋" w:eastAsia="仿宋" w:cs="仿宋"/>
          <w:b/>
          <w:bCs/>
          <w:sz w:val="32"/>
          <w:szCs w:val="32"/>
        </w:rPr>
      </w:pPr>
      <w:r>
        <w:rPr>
          <w:rFonts w:hint="eastAsia" w:ascii="仿宋" w:hAnsi="仿宋" w:eastAsia="仿宋" w:cs="仿宋"/>
          <w:b/>
          <w:bCs/>
          <w:sz w:val="32"/>
          <w:szCs w:val="32"/>
        </w:rPr>
        <w:t>附表3</w:t>
      </w:r>
    </w:p>
    <w:p>
      <w:pPr>
        <w:widowControl/>
        <w:spacing w:after="120" w:afterLines="50" w:line="570" w:lineRule="exact"/>
        <w:jc w:val="center"/>
        <w:rPr>
          <w:rFonts w:ascii="黑体" w:hAnsi="黑体" w:eastAsia="黑体" w:cs="黑体"/>
          <w:bCs/>
          <w:sz w:val="32"/>
          <w:szCs w:val="32"/>
        </w:rPr>
      </w:pPr>
      <w:r>
        <w:rPr>
          <w:rFonts w:hint="eastAsia" w:ascii="黑体" w:hAnsi="黑体" w:eastAsia="黑体" w:cs="黑体"/>
          <w:bCs/>
          <w:sz w:val="32"/>
          <w:szCs w:val="32"/>
        </w:rPr>
        <w:t>榆林市建筑业企业不良信用信息扣分表</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981"/>
        <w:gridCol w:w="617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541" w:type="pct"/>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3408" w:type="pct"/>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信息内容</w:t>
            </w:r>
          </w:p>
        </w:tc>
        <w:tc>
          <w:tcPr>
            <w:tcW w:w="710" w:type="pct"/>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1</w:t>
            </w:r>
          </w:p>
        </w:tc>
        <w:tc>
          <w:tcPr>
            <w:tcW w:w="541" w:type="pct"/>
            <w:vMerge w:val="restart"/>
            <w:vAlign w:val="center"/>
          </w:tcPr>
          <w:p>
            <w:pPr>
              <w:spacing w:line="360" w:lineRule="exact"/>
              <w:jc w:val="center"/>
              <w:rPr>
                <w:rFonts w:ascii="仿宋" w:hAnsi="仿宋" w:eastAsia="仿宋" w:cs="仿宋"/>
                <w:sz w:val="24"/>
              </w:rPr>
            </w:pPr>
            <w:r>
              <w:rPr>
                <w:rFonts w:hint="eastAsia" w:ascii="仿宋" w:hAnsi="仿宋" w:eastAsia="仿宋" w:cs="仿宋"/>
                <w:sz w:val="24"/>
              </w:rPr>
              <w:t>黑</w:t>
            </w:r>
          </w:p>
          <w:p>
            <w:pPr>
              <w:spacing w:line="360" w:lineRule="exact"/>
              <w:jc w:val="center"/>
              <w:rPr>
                <w:rFonts w:ascii="仿宋" w:hAnsi="仿宋" w:eastAsia="仿宋" w:cs="仿宋"/>
                <w:sz w:val="24"/>
              </w:rPr>
            </w:pPr>
            <w:r>
              <w:rPr>
                <w:rFonts w:hint="eastAsia" w:ascii="仿宋" w:hAnsi="仿宋" w:eastAsia="仿宋" w:cs="仿宋"/>
                <w:sz w:val="24"/>
              </w:rPr>
              <w:t>名</w:t>
            </w:r>
          </w:p>
          <w:p>
            <w:pPr>
              <w:spacing w:line="360" w:lineRule="exact"/>
              <w:jc w:val="center"/>
              <w:rPr>
                <w:rFonts w:ascii="仿宋" w:hAnsi="仿宋" w:eastAsia="仿宋" w:cs="仿宋"/>
                <w:sz w:val="24"/>
              </w:rPr>
            </w:pPr>
            <w:r>
              <w:rPr>
                <w:rFonts w:hint="eastAsia" w:ascii="仿宋" w:hAnsi="仿宋" w:eastAsia="仿宋" w:cs="仿宋"/>
                <w:sz w:val="24"/>
              </w:rPr>
              <w:t>单</w:t>
            </w:r>
          </w:p>
        </w:tc>
        <w:tc>
          <w:tcPr>
            <w:tcW w:w="3408" w:type="pct"/>
            <w:vAlign w:val="center"/>
          </w:tcPr>
          <w:p>
            <w:pPr>
              <w:widowControl/>
              <w:spacing w:line="360" w:lineRule="exact"/>
              <w:rPr>
                <w:rFonts w:ascii="仿宋" w:hAnsi="仿宋" w:eastAsia="仿宋" w:cs="仿宋"/>
                <w:color w:val="000000"/>
                <w:sz w:val="24"/>
              </w:rPr>
            </w:pPr>
            <w:r>
              <w:rPr>
                <w:rFonts w:hint="eastAsia" w:ascii="仿宋" w:hAnsi="仿宋" w:eastAsia="仿宋" w:cs="仿宋"/>
                <w:color w:val="000000"/>
                <w:sz w:val="24"/>
              </w:rPr>
              <w:t>一年内发生一次死亡1人（含）以上的质量、安全事故或造成严重社会影响的</w:t>
            </w:r>
          </w:p>
        </w:tc>
        <w:tc>
          <w:tcPr>
            <w:tcW w:w="710" w:type="pct"/>
            <w:vAlign w:val="center"/>
          </w:tcPr>
          <w:p>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2</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color w:val="000000"/>
                <w:sz w:val="24"/>
              </w:rPr>
            </w:pPr>
            <w:r>
              <w:rPr>
                <w:rFonts w:hint="eastAsia" w:ascii="仿宋" w:hAnsi="仿宋" w:eastAsia="仿宋" w:cs="仿宋"/>
                <w:color w:val="000000"/>
                <w:sz w:val="24"/>
              </w:rPr>
              <w:t>发生质量、安全事故后，违反法律法规规定迟报、瞒报、谎报或故意破坏事故现场、毁灭有关证据的</w:t>
            </w:r>
          </w:p>
        </w:tc>
        <w:tc>
          <w:tcPr>
            <w:tcW w:w="710" w:type="pct"/>
            <w:vAlign w:val="center"/>
          </w:tcPr>
          <w:p>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3</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color w:val="000000"/>
                <w:sz w:val="24"/>
              </w:rPr>
            </w:pPr>
            <w:r>
              <w:rPr>
                <w:rFonts w:hint="eastAsia" w:ascii="仿宋" w:hAnsi="仿宋" w:eastAsia="仿宋" w:cs="仿宋"/>
                <w:color w:val="000000"/>
                <w:sz w:val="24"/>
              </w:rPr>
              <w:t>对各级建设主管部门行政执法与监督检查中下发执法建议书、整改通知单等拒不整改或整改不到位，造成严重不良社会影响的，或暴力抗法的</w:t>
            </w:r>
          </w:p>
        </w:tc>
        <w:tc>
          <w:tcPr>
            <w:tcW w:w="710" w:type="pct"/>
            <w:vAlign w:val="center"/>
          </w:tcPr>
          <w:p>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4</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spacing w:line="360" w:lineRule="exact"/>
              <w:rPr>
                <w:rFonts w:ascii="仿宋" w:hAnsi="仿宋" w:eastAsia="仿宋" w:cs="仿宋"/>
                <w:color w:val="000000"/>
                <w:sz w:val="24"/>
              </w:rPr>
            </w:pPr>
            <w:r>
              <w:rPr>
                <w:rFonts w:hint="eastAsia" w:ascii="仿宋" w:hAnsi="仿宋" w:eastAsia="仿宋" w:cs="仿宋"/>
                <w:color w:val="000000"/>
                <w:sz w:val="24"/>
              </w:rPr>
              <w:t>经各级建设主管部门认定存在严重威胁质量、安全生产的其他行为</w:t>
            </w:r>
          </w:p>
        </w:tc>
        <w:tc>
          <w:tcPr>
            <w:tcW w:w="710" w:type="pct"/>
            <w:vAlign w:val="center"/>
          </w:tcPr>
          <w:p>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5</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spacing w:line="360" w:lineRule="exact"/>
              <w:rPr>
                <w:rFonts w:ascii="仿宋" w:hAnsi="仿宋" w:eastAsia="仿宋" w:cs="仿宋"/>
                <w:color w:val="000000"/>
                <w:sz w:val="24"/>
              </w:rPr>
            </w:pPr>
            <w:r>
              <w:rPr>
                <w:rFonts w:hint="eastAsia" w:ascii="仿宋" w:hAnsi="仿宋" w:eastAsia="仿宋" w:cs="仿宋"/>
                <w:color w:val="000000"/>
                <w:sz w:val="24"/>
              </w:rPr>
              <w:t>不具备有效安全生产许可证书从事</w:t>
            </w:r>
            <w:r>
              <w:rPr>
                <w:rFonts w:hint="eastAsia" w:ascii="仿宋" w:hAnsi="仿宋" w:eastAsia="仿宋" w:cs="仿宋"/>
                <w:color w:val="000000"/>
                <w:sz w:val="24"/>
                <w:lang w:val="en-US"/>
              </w:rPr>
              <w:t>住建领域建筑施工</w:t>
            </w:r>
            <w:r>
              <w:rPr>
                <w:rFonts w:hint="eastAsia" w:ascii="仿宋" w:hAnsi="仿宋" w:eastAsia="仿宋" w:cs="仿宋"/>
                <w:color w:val="000000"/>
                <w:sz w:val="24"/>
              </w:rPr>
              <w:t>经营活动的，或安全生产许可证书被吊销后从事</w:t>
            </w:r>
            <w:r>
              <w:rPr>
                <w:rFonts w:hint="eastAsia" w:ascii="仿宋" w:hAnsi="仿宋" w:eastAsia="仿宋" w:cs="仿宋"/>
                <w:color w:val="000000"/>
                <w:sz w:val="24"/>
                <w:lang w:val="en-US"/>
              </w:rPr>
              <w:t>住建领域建筑施工</w:t>
            </w:r>
            <w:r>
              <w:rPr>
                <w:rFonts w:hint="eastAsia" w:ascii="仿宋" w:hAnsi="仿宋" w:eastAsia="仿宋" w:cs="仿宋"/>
                <w:color w:val="000000"/>
                <w:sz w:val="24"/>
              </w:rPr>
              <w:t>经营活动的。</w:t>
            </w:r>
          </w:p>
        </w:tc>
        <w:tc>
          <w:tcPr>
            <w:tcW w:w="710" w:type="pct"/>
            <w:vAlign w:val="center"/>
          </w:tcPr>
          <w:p>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6</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spacing w:line="360" w:lineRule="exact"/>
              <w:rPr>
                <w:rFonts w:ascii="仿宋" w:hAnsi="仿宋" w:eastAsia="仿宋" w:cs="仿宋"/>
                <w:color w:val="000000"/>
                <w:sz w:val="24"/>
              </w:rPr>
            </w:pPr>
            <w:r>
              <w:rPr>
                <w:rFonts w:hint="eastAsia" w:ascii="仿宋" w:hAnsi="仿宋" w:eastAsia="仿宋" w:cs="仿宋"/>
                <w:color w:val="000000"/>
                <w:sz w:val="24"/>
              </w:rPr>
              <w:t>伪造、变造、倒卖、出租、出借或以其他形式非法转让各种资质、许可证和执业证书的</w:t>
            </w:r>
          </w:p>
        </w:tc>
        <w:tc>
          <w:tcPr>
            <w:tcW w:w="710" w:type="pct"/>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7</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color w:val="000000"/>
                <w:sz w:val="24"/>
              </w:rPr>
            </w:pPr>
            <w:r>
              <w:rPr>
                <w:rFonts w:hint="eastAsia" w:ascii="仿宋" w:hAnsi="仿宋" w:eastAsia="仿宋" w:cs="仿宋"/>
                <w:color w:val="000000"/>
                <w:sz w:val="24"/>
              </w:rPr>
              <w:t>未按规定履行住房城乡建设行业中管理职责被吊销相关职业资格，或被吊销安全生产考核合格证书，或被判处刑罚的</w:t>
            </w:r>
          </w:p>
        </w:tc>
        <w:tc>
          <w:tcPr>
            <w:tcW w:w="710" w:type="pct"/>
            <w:vAlign w:val="center"/>
          </w:tcPr>
          <w:p>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8</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color w:val="000000"/>
                <w:sz w:val="24"/>
              </w:rPr>
            </w:pPr>
            <w:r>
              <w:rPr>
                <w:rFonts w:hint="eastAsia" w:ascii="仿宋" w:hAnsi="仿宋" w:eastAsia="仿宋" w:cs="仿宋"/>
                <w:color w:val="000000"/>
                <w:sz w:val="24"/>
              </w:rPr>
              <w:t>因环保不作为、恶意拖欠工程款或拖欠农民工工资引起上访等事件被省级以上部门通报,或造成严重不良影响的</w:t>
            </w:r>
          </w:p>
        </w:tc>
        <w:tc>
          <w:tcPr>
            <w:tcW w:w="710" w:type="pct"/>
            <w:vAlign w:val="center"/>
          </w:tcPr>
          <w:p>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9</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color w:val="000000"/>
                <w:sz w:val="24"/>
              </w:rPr>
            </w:pPr>
            <w:r>
              <w:rPr>
                <w:rFonts w:hint="eastAsia" w:ascii="仿宋" w:hAnsi="仿宋" w:eastAsia="仿宋" w:cs="仿宋"/>
                <w:color w:val="000000"/>
                <w:sz w:val="24"/>
              </w:rPr>
              <w:t>侵害群众利益，引起异常、越级、群体上访，影响社会稳定和正常社会秩序，造成恶劣社会影响的</w:t>
            </w:r>
          </w:p>
        </w:tc>
        <w:tc>
          <w:tcPr>
            <w:tcW w:w="710" w:type="pct"/>
            <w:vAlign w:val="center"/>
          </w:tcPr>
          <w:p>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10</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spacing w:line="360" w:lineRule="exact"/>
              <w:rPr>
                <w:rFonts w:ascii="仿宋" w:hAnsi="仿宋" w:eastAsia="仿宋" w:cs="仿宋"/>
                <w:color w:val="000000"/>
                <w:sz w:val="24"/>
              </w:rPr>
            </w:pPr>
            <w:r>
              <w:rPr>
                <w:rFonts w:hint="eastAsia" w:ascii="仿宋" w:hAnsi="仿宋" w:eastAsia="仿宋" w:cs="仿宋"/>
                <w:color w:val="000000"/>
                <w:sz w:val="24"/>
              </w:rPr>
              <w:t>按照国家规定需要持证上岗，未取得证书上岗情节严重</w:t>
            </w:r>
          </w:p>
        </w:tc>
        <w:tc>
          <w:tcPr>
            <w:tcW w:w="710" w:type="pct"/>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11</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spacing w:line="360" w:lineRule="exact"/>
              <w:rPr>
                <w:rFonts w:ascii="仿宋" w:hAnsi="仿宋" w:eastAsia="仿宋" w:cs="仿宋"/>
                <w:color w:val="000000"/>
                <w:sz w:val="24"/>
              </w:rPr>
            </w:pPr>
            <w:r>
              <w:rPr>
                <w:rFonts w:hint="eastAsia" w:ascii="仿宋" w:hAnsi="仿宋" w:eastAsia="仿宋" w:cs="仿宋"/>
                <w:color w:val="000000"/>
                <w:sz w:val="24"/>
              </w:rPr>
              <w:t>被人力资源社会保障部门主管部门列入拖欠农民工工资“黑名单”的</w:t>
            </w:r>
          </w:p>
        </w:tc>
        <w:tc>
          <w:tcPr>
            <w:tcW w:w="710" w:type="pct"/>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12</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spacing w:line="360" w:lineRule="exact"/>
              <w:rPr>
                <w:rFonts w:ascii="仿宋" w:hAnsi="仿宋" w:eastAsia="仿宋" w:cs="仿宋"/>
                <w:color w:val="000000"/>
                <w:sz w:val="24"/>
              </w:rPr>
            </w:pPr>
            <w:r>
              <w:rPr>
                <w:rFonts w:hint="eastAsia" w:ascii="仿宋" w:hAnsi="仿宋" w:eastAsia="仿宋" w:cs="仿宋"/>
                <w:color w:val="000000"/>
                <w:sz w:val="24"/>
              </w:rPr>
              <w:t>经法院判决或仲裁机构裁决，认定为拖欠工程款，且拒不履行生效法律文书确定的义务的</w:t>
            </w:r>
          </w:p>
        </w:tc>
        <w:tc>
          <w:tcPr>
            <w:tcW w:w="710" w:type="pct"/>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13</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spacing w:line="360" w:lineRule="exact"/>
              <w:rPr>
                <w:rFonts w:ascii="仿宋" w:hAnsi="仿宋" w:eastAsia="仿宋" w:cs="仿宋"/>
                <w:color w:val="000000"/>
                <w:sz w:val="24"/>
              </w:rPr>
            </w:pPr>
            <w:r>
              <w:rPr>
                <w:rFonts w:hint="eastAsia" w:ascii="仿宋" w:hAnsi="仿宋" w:eastAsia="仿宋" w:cs="仿宋"/>
                <w:color w:val="000000"/>
                <w:sz w:val="24"/>
              </w:rPr>
              <w:t>受到公安机关治安处罚或司法部门认定负有刑事责任的黑恶势力的（企业、法定代表人、实际控制人以及策划组织者）</w:t>
            </w:r>
          </w:p>
        </w:tc>
        <w:tc>
          <w:tcPr>
            <w:tcW w:w="710" w:type="pct"/>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14</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spacing w:line="360" w:lineRule="exact"/>
              <w:rPr>
                <w:rFonts w:ascii="仿宋" w:hAnsi="仿宋" w:eastAsia="仿宋" w:cs="仿宋"/>
                <w:color w:val="000000"/>
                <w:sz w:val="24"/>
              </w:rPr>
            </w:pPr>
            <w:r>
              <w:rPr>
                <w:rFonts w:hint="eastAsia" w:ascii="仿宋" w:hAnsi="仿宋" w:eastAsia="仿宋" w:cs="仿宋"/>
                <w:color w:val="000000"/>
                <w:sz w:val="24"/>
              </w:rPr>
              <w:t>被其他行政主管部门列为“黑名单”或严重违法企业的</w:t>
            </w:r>
          </w:p>
        </w:tc>
        <w:tc>
          <w:tcPr>
            <w:tcW w:w="710" w:type="pct"/>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15</w:t>
            </w:r>
          </w:p>
        </w:tc>
        <w:tc>
          <w:tcPr>
            <w:tcW w:w="541" w:type="pct"/>
            <w:vAlign w:val="center"/>
          </w:tcPr>
          <w:p>
            <w:pPr>
              <w:spacing w:line="360" w:lineRule="exact"/>
              <w:jc w:val="center"/>
              <w:rPr>
                <w:rFonts w:ascii="仿宋" w:hAnsi="仿宋" w:eastAsia="仿宋" w:cs="仿宋"/>
                <w:sz w:val="24"/>
              </w:rPr>
            </w:pPr>
            <w:r>
              <w:rPr>
                <w:rFonts w:hint="eastAsia" w:ascii="仿宋" w:hAnsi="仿宋" w:eastAsia="仿宋" w:cs="仿宋"/>
                <w:sz w:val="24"/>
              </w:rPr>
              <w:t>黑名单</w:t>
            </w:r>
          </w:p>
        </w:tc>
        <w:tc>
          <w:tcPr>
            <w:tcW w:w="3408" w:type="pct"/>
            <w:vAlign w:val="center"/>
          </w:tcPr>
          <w:p>
            <w:pPr>
              <w:spacing w:line="360" w:lineRule="exact"/>
              <w:rPr>
                <w:rFonts w:ascii="仿宋" w:hAnsi="仿宋" w:eastAsia="仿宋" w:cs="仿宋"/>
                <w:color w:val="000000"/>
                <w:sz w:val="24"/>
              </w:rPr>
            </w:pPr>
            <w:r>
              <w:rPr>
                <w:rFonts w:hint="eastAsia" w:ascii="仿宋" w:hAnsi="仿宋" w:eastAsia="仿宋" w:cs="仿宋"/>
                <w:color w:val="000000"/>
                <w:sz w:val="24"/>
              </w:rPr>
              <w:t>其他违反法律法规规章和政策规定，且造成严重不良影响的</w:t>
            </w:r>
          </w:p>
        </w:tc>
        <w:tc>
          <w:tcPr>
            <w:tcW w:w="710" w:type="pct"/>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16</w:t>
            </w:r>
          </w:p>
        </w:tc>
        <w:tc>
          <w:tcPr>
            <w:tcW w:w="541" w:type="pct"/>
            <w:vMerge w:val="restart"/>
            <w:vAlign w:val="center"/>
          </w:tcPr>
          <w:p>
            <w:pPr>
              <w:spacing w:line="360" w:lineRule="exact"/>
              <w:jc w:val="center"/>
              <w:rPr>
                <w:rFonts w:ascii="仿宋" w:hAnsi="仿宋" w:eastAsia="仿宋" w:cs="仿宋"/>
                <w:sz w:val="24"/>
              </w:rPr>
            </w:pPr>
            <w:r>
              <w:rPr>
                <w:rFonts w:hint="eastAsia" w:ascii="仿宋" w:hAnsi="仿宋" w:eastAsia="仿宋" w:cs="仿宋"/>
                <w:sz w:val="24"/>
              </w:rPr>
              <w:t>不</w:t>
            </w:r>
          </w:p>
          <w:p>
            <w:pPr>
              <w:spacing w:line="360" w:lineRule="exact"/>
              <w:jc w:val="center"/>
              <w:rPr>
                <w:rFonts w:ascii="仿宋" w:hAnsi="仿宋" w:eastAsia="仿宋" w:cs="仿宋"/>
                <w:sz w:val="24"/>
              </w:rPr>
            </w:pPr>
            <w:r>
              <w:rPr>
                <w:rFonts w:hint="eastAsia" w:ascii="仿宋" w:hAnsi="仿宋" w:eastAsia="仿宋" w:cs="仿宋"/>
                <w:sz w:val="24"/>
              </w:rPr>
              <w:t>良</w:t>
            </w:r>
          </w:p>
          <w:p>
            <w:pPr>
              <w:spacing w:line="360" w:lineRule="exact"/>
              <w:jc w:val="center"/>
              <w:rPr>
                <w:rFonts w:ascii="仿宋" w:hAnsi="仿宋" w:eastAsia="仿宋" w:cs="仿宋"/>
                <w:sz w:val="24"/>
              </w:rPr>
            </w:pPr>
            <w:r>
              <w:rPr>
                <w:rFonts w:hint="eastAsia" w:ascii="仿宋" w:hAnsi="仿宋" w:eastAsia="仿宋" w:cs="仿宋"/>
                <w:sz w:val="24"/>
              </w:rPr>
              <w:t>信</w:t>
            </w:r>
          </w:p>
          <w:p>
            <w:pPr>
              <w:spacing w:line="360" w:lineRule="exact"/>
              <w:jc w:val="center"/>
              <w:rPr>
                <w:rFonts w:ascii="仿宋" w:hAnsi="仿宋" w:eastAsia="仿宋" w:cs="仿宋"/>
                <w:sz w:val="24"/>
              </w:rPr>
            </w:pPr>
            <w:r>
              <w:rPr>
                <w:rFonts w:hint="eastAsia" w:ascii="仿宋" w:hAnsi="仿宋" w:eastAsia="仿宋" w:cs="仿宋"/>
                <w:sz w:val="24"/>
              </w:rPr>
              <w:t>用</w:t>
            </w:r>
          </w:p>
          <w:p>
            <w:pPr>
              <w:spacing w:line="360" w:lineRule="exact"/>
              <w:jc w:val="center"/>
              <w:rPr>
                <w:rFonts w:ascii="仿宋" w:hAnsi="仿宋" w:eastAsia="仿宋" w:cs="仿宋"/>
                <w:sz w:val="24"/>
              </w:rPr>
            </w:pPr>
            <w:r>
              <w:rPr>
                <w:rFonts w:hint="eastAsia" w:ascii="仿宋" w:hAnsi="仿宋" w:eastAsia="仿宋" w:cs="仿宋"/>
                <w:sz w:val="24"/>
              </w:rPr>
              <w:t>信</w:t>
            </w:r>
          </w:p>
          <w:p>
            <w:pPr>
              <w:spacing w:line="360" w:lineRule="exact"/>
              <w:jc w:val="center"/>
              <w:rPr>
                <w:rFonts w:ascii="仿宋" w:hAnsi="仿宋" w:eastAsia="仿宋" w:cs="仿宋"/>
                <w:sz w:val="24"/>
              </w:rPr>
            </w:pPr>
            <w:r>
              <w:rPr>
                <w:rFonts w:hint="eastAsia" w:ascii="仿宋" w:hAnsi="仿宋" w:eastAsia="仿宋" w:cs="仿宋"/>
                <w:sz w:val="24"/>
              </w:rPr>
              <w:t>息</w:t>
            </w: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从“黑名单”移出转为不良信用信息的</w:t>
            </w:r>
          </w:p>
        </w:tc>
        <w:tc>
          <w:tcPr>
            <w:tcW w:w="710" w:type="pct"/>
            <w:vAlign w:val="center"/>
          </w:tcPr>
          <w:p>
            <w:pPr>
              <w:spacing w:line="360" w:lineRule="exact"/>
              <w:jc w:val="center"/>
              <w:rPr>
                <w:rFonts w:ascii="仿宋" w:hAnsi="仿宋" w:eastAsia="仿宋" w:cs="仿宋"/>
                <w:sz w:val="24"/>
              </w:rPr>
            </w:pPr>
            <w:r>
              <w:rPr>
                <w:rFonts w:hint="eastAsia" w:ascii="仿宋" w:hAnsi="仿宋" w:eastAsia="仿宋" w:cs="仿宋"/>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17</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受到吊销许可证、吊销执照以上行政处罚的</w:t>
            </w:r>
          </w:p>
        </w:tc>
        <w:tc>
          <w:tcPr>
            <w:tcW w:w="710" w:type="pct"/>
            <w:vAlign w:val="center"/>
          </w:tcPr>
          <w:p>
            <w:pPr>
              <w:spacing w:line="360" w:lineRule="exact"/>
              <w:jc w:val="center"/>
              <w:rPr>
                <w:rFonts w:ascii="仿宋" w:hAnsi="仿宋" w:eastAsia="仿宋" w:cs="仿宋"/>
                <w:sz w:val="24"/>
              </w:rPr>
            </w:pPr>
            <w:r>
              <w:rPr>
                <w:rFonts w:hint="eastAsia" w:ascii="仿宋" w:hAnsi="仿宋" w:eastAsia="仿宋" w:cs="仿宋"/>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18</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受到撤回资质的行政处理的</w:t>
            </w:r>
          </w:p>
        </w:tc>
        <w:tc>
          <w:tcPr>
            <w:tcW w:w="710" w:type="pct"/>
            <w:vAlign w:val="center"/>
          </w:tcPr>
          <w:p>
            <w:pPr>
              <w:spacing w:line="360" w:lineRule="exact"/>
              <w:jc w:val="center"/>
              <w:rPr>
                <w:rFonts w:ascii="仿宋" w:hAnsi="仿宋" w:eastAsia="仿宋" w:cs="仿宋"/>
                <w:sz w:val="24"/>
              </w:rPr>
            </w:pPr>
            <w:r>
              <w:rPr>
                <w:rFonts w:hint="eastAsia" w:ascii="仿宋" w:hAnsi="仿宋" w:eastAsia="仿宋" w:cs="仿宋"/>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19</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受到暂扣许可证、暂扣执照3个月以上（含3个月）的行政处罚的</w:t>
            </w:r>
          </w:p>
        </w:tc>
        <w:tc>
          <w:tcPr>
            <w:tcW w:w="710" w:type="pct"/>
            <w:vAlign w:val="center"/>
          </w:tcPr>
          <w:p>
            <w:pPr>
              <w:spacing w:line="360" w:lineRule="exact"/>
              <w:jc w:val="center"/>
              <w:rPr>
                <w:rFonts w:ascii="仿宋" w:hAnsi="仿宋" w:eastAsia="仿宋" w:cs="仿宋"/>
                <w:sz w:val="24"/>
              </w:rPr>
            </w:pPr>
            <w:r>
              <w:rPr>
                <w:rFonts w:hint="eastAsia" w:ascii="仿宋" w:hAnsi="仿宋" w:eastAsia="仿宋" w:cs="仿宋"/>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20</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受到暂扣许可证、暂扣执照1-3个月（含1个月）的行政处罚的</w:t>
            </w:r>
          </w:p>
        </w:tc>
        <w:tc>
          <w:tcPr>
            <w:tcW w:w="710" w:type="pct"/>
            <w:vAlign w:val="center"/>
          </w:tcPr>
          <w:p>
            <w:pPr>
              <w:spacing w:line="360" w:lineRule="exact"/>
              <w:jc w:val="center"/>
              <w:rPr>
                <w:rFonts w:ascii="仿宋" w:hAnsi="仿宋" w:eastAsia="仿宋" w:cs="仿宋"/>
                <w:sz w:val="24"/>
              </w:rPr>
            </w:pPr>
            <w:r>
              <w:rPr>
                <w:rFonts w:hint="eastAsia" w:ascii="仿宋" w:hAnsi="仿宋" w:eastAsia="仿宋" w:cs="仿宋"/>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21</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受到暂扣许可证、暂扣执照1个月以内的行政处罚的</w:t>
            </w:r>
          </w:p>
        </w:tc>
        <w:tc>
          <w:tcPr>
            <w:tcW w:w="710" w:type="pct"/>
            <w:vAlign w:val="center"/>
          </w:tcPr>
          <w:p>
            <w:pPr>
              <w:spacing w:line="360" w:lineRule="exact"/>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22</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受到责令停产停业行政处罚的</w:t>
            </w:r>
          </w:p>
        </w:tc>
        <w:tc>
          <w:tcPr>
            <w:tcW w:w="710" w:type="pct"/>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23</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受到罚款行政处罚的</w:t>
            </w:r>
          </w:p>
        </w:tc>
        <w:tc>
          <w:tcPr>
            <w:tcW w:w="710" w:type="pct"/>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24</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受到警告行政处罚的</w:t>
            </w:r>
          </w:p>
        </w:tc>
        <w:tc>
          <w:tcPr>
            <w:tcW w:w="710" w:type="pct"/>
            <w:vAlign w:val="center"/>
          </w:tcPr>
          <w:p>
            <w:pPr>
              <w:spacing w:line="360" w:lineRule="exact"/>
              <w:jc w:val="center"/>
              <w:rPr>
                <w:rFonts w:ascii="仿宋" w:hAnsi="仿宋" w:eastAsia="仿宋" w:cs="仿宋"/>
                <w:sz w:val="24"/>
              </w:rPr>
            </w:pPr>
            <w:r>
              <w:rPr>
                <w:rFonts w:hint="eastAsia" w:ascii="仿宋" w:hAnsi="仿宋" w:eastAsia="仿宋" w:cs="仿宋"/>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25</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受到住房城乡建设部通报批评的</w:t>
            </w:r>
          </w:p>
        </w:tc>
        <w:tc>
          <w:tcPr>
            <w:tcW w:w="710" w:type="pct"/>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26</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受到省住房城乡建设厅通报批评的</w:t>
            </w:r>
          </w:p>
        </w:tc>
        <w:tc>
          <w:tcPr>
            <w:tcW w:w="710" w:type="pct"/>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27</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受到市住房城乡建设主管部门通报批评的（包括记不良行为记录和下发整改通知书等行为）</w:t>
            </w:r>
          </w:p>
        </w:tc>
        <w:tc>
          <w:tcPr>
            <w:tcW w:w="710" w:type="pct"/>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28</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受到县（市、区）住房城乡建设主管部门通报批评的（包括记不良行为记录和下发整改通知书等行为）</w:t>
            </w:r>
          </w:p>
        </w:tc>
        <w:tc>
          <w:tcPr>
            <w:tcW w:w="710" w:type="pct"/>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29</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中标后和施工过程中未按规定变更项目负责人的</w:t>
            </w:r>
          </w:p>
        </w:tc>
        <w:tc>
          <w:tcPr>
            <w:tcW w:w="710" w:type="pct"/>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30</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违法分包工程，受到行政处罚的</w:t>
            </w:r>
          </w:p>
        </w:tc>
        <w:tc>
          <w:tcPr>
            <w:tcW w:w="710" w:type="pct"/>
            <w:vAlign w:val="center"/>
          </w:tcPr>
          <w:p>
            <w:pPr>
              <w:widowControl/>
              <w:spacing w:line="360" w:lineRule="exact"/>
              <w:jc w:val="center"/>
              <w:rPr>
                <w:rFonts w:ascii="仿宋" w:hAnsi="仿宋" w:eastAsia="仿宋" w:cs="仿宋"/>
                <w:spacing w:val="-23"/>
                <w:sz w:val="24"/>
              </w:rPr>
            </w:pPr>
            <w:r>
              <w:rPr>
                <w:rFonts w:hint="eastAsia" w:ascii="仿宋" w:hAnsi="仿宋" w:eastAsia="仿宋" w:cs="仿宋"/>
                <w:spacing w:val="-23"/>
                <w:sz w:val="24"/>
              </w:rPr>
              <w:t>发包方5分</w:t>
            </w:r>
          </w:p>
          <w:p>
            <w:pPr>
              <w:widowControl/>
              <w:spacing w:line="360" w:lineRule="exact"/>
              <w:jc w:val="center"/>
              <w:rPr>
                <w:rFonts w:ascii="仿宋" w:hAnsi="仿宋" w:eastAsia="仿宋" w:cs="仿宋"/>
                <w:sz w:val="24"/>
              </w:rPr>
            </w:pPr>
            <w:r>
              <w:rPr>
                <w:rFonts w:hint="eastAsia" w:ascii="仿宋" w:hAnsi="仿宋" w:eastAsia="仿宋" w:cs="仿宋"/>
                <w:spacing w:val="-23"/>
                <w:sz w:val="24"/>
              </w:rPr>
              <w:t>承包方2分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31</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未按规定移交项目建设档案的</w:t>
            </w:r>
          </w:p>
        </w:tc>
        <w:tc>
          <w:tcPr>
            <w:tcW w:w="710" w:type="pct"/>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32</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拖欠工程款三个月及以上的</w:t>
            </w:r>
          </w:p>
        </w:tc>
        <w:tc>
          <w:tcPr>
            <w:tcW w:w="710" w:type="pct"/>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33</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拖欠农民工工资经主管部门协调后仍不按期支付的</w:t>
            </w:r>
          </w:p>
        </w:tc>
        <w:tc>
          <w:tcPr>
            <w:tcW w:w="710" w:type="pct"/>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34</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不落实</w:t>
            </w:r>
            <w:r>
              <w:rPr>
                <w:rFonts w:hint="eastAsia" w:ascii="仿宋" w:hAnsi="仿宋" w:eastAsia="仿宋" w:cs="仿宋"/>
                <w:sz w:val="24"/>
                <w:lang w:val="en-US"/>
              </w:rPr>
              <w:t>根治</w:t>
            </w:r>
            <w:r>
              <w:rPr>
                <w:rFonts w:hint="eastAsia" w:ascii="仿宋" w:hAnsi="仿宋" w:eastAsia="仿宋" w:cs="仿宋"/>
                <w:sz w:val="24"/>
              </w:rPr>
              <w:t>拖欠农民工工资制度受到主管部门通报批评的</w:t>
            </w:r>
          </w:p>
        </w:tc>
        <w:tc>
          <w:tcPr>
            <w:tcW w:w="710" w:type="pct"/>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9" w:type="pct"/>
            <w:vAlign w:val="center"/>
          </w:tcPr>
          <w:p>
            <w:pPr>
              <w:spacing w:line="360" w:lineRule="exact"/>
              <w:jc w:val="center"/>
              <w:rPr>
                <w:rFonts w:ascii="仿宋" w:hAnsi="仿宋" w:eastAsia="仿宋" w:cs="仿宋"/>
                <w:sz w:val="24"/>
              </w:rPr>
            </w:pPr>
            <w:r>
              <w:rPr>
                <w:rFonts w:hint="eastAsia" w:ascii="仿宋" w:hAnsi="仿宋" w:eastAsia="仿宋" w:cs="仿宋"/>
                <w:sz w:val="24"/>
              </w:rPr>
              <w:t>35</w:t>
            </w:r>
          </w:p>
        </w:tc>
        <w:tc>
          <w:tcPr>
            <w:tcW w:w="541" w:type="pct"/>
            <w:vMerge w:val="continue"/>
            <w:vAlign w:val="center"/>
          </w:tcPr>
          <w:p>
            <w:pPr>
              <w:spacing w:line="360" w:lineRule="exact"/>
              <w:jc w:val="center"/>
              <w:rPr>
                <w:rFonts w:ascii="仿宋" w:hAnsi="仿宋" w:eastAsia="仿宋" w:cs="仿宋"/>
                <w:sz w:val="24"/>
              </w:rPr>
            </w:pPr>
          </w:p>
        </w:tc>
        <w:tc>
          <w:tcPr>
            <w:tcW w:w="3408" w:type="pct"/>
            <w:vAlign w:val="center"/>
          </w:tcPr>
          <w:p>
            <w:pPr>
              <w:widowControl/>
              <w:spacing w:line="360" w:lineRule="exact"/>
              <w:rPr>
                <w:rFonts w:ascii="仿宋" w:hAnsi="仿宋" w:eastAsia="仿宋" w:cs="仿宋"/>
                <w:sz w:val="24"/>
              </w:rPr>
            </w:pPr>
            <w:r>
              <w:rPr>
                <w:rFonts w:hint="eastAsia" w:ascii="仿宋" w:hAnsi="仿宋" w:eastAsia="仿宋" w:cs="仿宋"/>
                <w:sz w:val="24"/>
              </w:rPr>
              <w:t>建筑业企业拒报、迟报统计数据或报送数据不实的</w:t>
            </w:r>
          </w:p>
        </w:tc>
        <w:tc>
          <w:tcPr>
            <w:tcW w:w="710" w:type="pct"/>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每次1分</w:t>
            </w:r>
          </w:p>
        </w:tc>
      </w:tr>
    </w:tbl>
    <w:p>
      <w:pPr>
        <w:adjustRightInd w:val="0"/>
        <w:snapToGrid w:val="0"/>
        <w:spacing w:line="360" w:lineRule="exact"/>
        <w:ind w:firstLine="482" w:firstLineChars="200"/>
        <w:rPr>
          <w:rFonts w:ascii="仿宋" w:hAnsi="仿宋" w:eastAsia="仿宋" w:cs="仿宋"/>
          <w:sz w:val="24"/>
        </w:rPr>
      </w:pPr>
      <w:r>
        <w:rPr>
          <w:rFonts w:hint="eastAsia" w:ascii="仿宋" w:hAnsi="仿宋" w:eastAsia="仿宋" w:cs="仿宋"/>
          <w:b/>
          <w:sz w:val="24"/>
        </w:rPr>
        <w:t>说明</w:t>
      </w:r>
      <w:r>
        <w:rPr>
          <w:rFonts w:hint="eastAsia" w:ascii="仿宋" w:hAnsi="仿宋" w:eastAsia="仿宋" w:cs="仿宋"/>
          <w:sz w:val="24"/>
        </w:rPr>
        <w:t>：</w:t>
      </w:r>
      <w:r>
        <w:rPr>
          <w:rFonts w:hint="eastAsia" w:ascii="仿宋" w:hAnsi="仿宋" w:eastAsia="仿宋" w:cs="仿宋"/>
          <w:sz w:val="24"/>
          <w:lang w:val="en-US"/>
        </w:rPr>
        <w:t>1</w:t>
      </w:r>
      <w:r>
        <w:rPr>
          <w:rFonts w:hint="eastAsia" w:ascii="仿宋" w:hAnsi="仿宋" w:eastAsia="仿宋" w:cs="仿宋"/>
          <w:sz w:val="24"/>
        </w:rPr>
        <w:t>.同一工程项目多次出现不良行为，予以累计扣减；</w:t>
      </w:r>
    </w:p>
    <w:p>
      <w:pPr>
        <w:adjustRightInd w:val="0"/>
        <w:snapToGrid w:val="0"/>
        <w:spacing w:line="360" w:lineRule="exact"/>
        <w:ind w:left="502" w:leftChars="228" w:right="482" w:firstLine="720" w:firstLineChars="300"/>
        <w:rPr>
          <w:rFonts w:ascii="仿宋" w:hAnsi="仿宋" w:eastAsia="仿宋" w:cs="仿宋"/>
          <w:sz w:val="24"/>
        </w:rPr>
      </w:pPr>
      <w:r>
        <w:rPr>
          <w:rFonts w:hint="eastAsia" w:ascii="仿宋" w:hAnsi="仿宋" w:eastAsia="仿宋" w:cs="仿宋"/>
          <w:sz w:val="24"/>
          <w:lang w:val="en-US"/>
        </w:rPr>
        <w:t>2</w:t>
      </w:r>
      <w:r>
        <w:rPr>
          <w:rFonts w:hint="eastAsia" w:ascii="仿宋" w:hAnsi="仿宋" w:eastAsia="仿宋" w:cs="仿宋"/>
          <w:sz w:val="24"/>
        </w:rPr>
        <w:t>.评价标准根据中、省、市建筑行业监管方式要求随时调整，信用评价与行业监管同步。</w:t>
      </w:r>
    </w:p>
    <w:p>
      <w:pPr>
        <w:widowControl/>
        <w:spacing w:line="400" w:lineRule="exact"/>
        <w:jc w:val="center"/>
        <w:rPr>
          <w:b/>
          <w:bCs/>
          <w:sz w:val="44"/>
          <w:szCs w:val="44"/>
        </w:rPr>
      </w:pPr>
    </w:p>
    <w:p>
      <w:pPr>
        <w:ind w:right="480"/>
        <w:rPr>
          <w:rFonts w:ascii="仿宋_GB2312"/>
        </w:rPr>
      </w:pPr>
    </w:p>
    <w:p/>
    <w:p>
      <w:pPr>
        <w:widowControl/>
        <w:spacing w:line="540" w:lineRule="atLeast"/>
        <w:rPr>
          <w:rFonts w:hint="eastAsia" w:ascii="仿宋" w:hAnsi="仿宋" w:eastAsia="仿宋" w:cs="仿宋"/>
          <w:sz w:val="32"/>
          <w:szCs w:val="32"/>
        </w:rPr>
      </w:pPr>
    </w:p>
    <w:p>
      <w:pPr>
        <w:widowControl/>
        <w:spacing w:line="540" w:lineRule="atLeast"/>
        <w:rPr>
          <w:rFonts w:hint="eastAsia" w:ascii="仿宋" w:hAnsi="仿宋" w:eastAsia="仿宋" w:cs="仿宋"/>
          <w:sz w:val="32"/>
          <w:szCs w:val="32"/>
        </w:rPr>
      </w:pPr>
    </w:p>
    <w:p>
      <w:pPr>
        <w:widowControl/>
        <w:spacing w:line="540" w:lineRule="atLeast"/>
        <w:rPr>
          <w:rFonts w:hint="eastAsia" w:ascii="仿宋" w:hAnsi="仿宋" w:eastAsia="仿宋" w:cs="仿宋"/>
          <w:sz w:val="32"/>
          <w:szCs w:val="32"/>
        </w:rPr>
      </w:pPr>
    </w:p>
    <w:p>
      <w:pPr>
        <w:widowControl/>
        <w:spacing w:line="540" w:lineRule="atLeast"/>
        <w:rPr>
          <w:rFonts w:hint="eastAsia" w:ascii="仿宋" w:hAnsi="仿宋" w:eastAsia="仿宋" w:cs="仿宋"/>
          <w:sz w:val="32"/>
          <w:szCs w:val="32"/>
        </w:rPr>
      </w:pPr>
    </w:p>
    <w:p>
      <w:pPr>
        <w:widowControl/>
        <w:spacing w:line="540" w:lineRule="atLeast"/>
        <w:rPr>
          <w:rFonts w:ascii="仿宋" w:hAnsi="仿宋" w:eastAsia="仿宋" w:cs="仿宋"/>
          <w:sz w:val="32"/>
          <w:szCs w:val="32"/>
        </w:rPr>
      </w:pPr>
      <w:r>
        <w:rPr>
          <w:rFonts w:hint="eastAsia" w:ascii="仿宋" w:hAnsi="仿宋" w:eastAsia="仿宋" w:cs="仿宋"/>
          <w:b/>
          <w:bCs/>
          <w:sz w:val="32"/>
          <w:szCs w:val="32"/>
        </w:rPr>
        <w:t>附件</w:t>
      </w:r>
      <w:r>
        <w:rPr>
          <w:rFonts w:hint="eastAsia" w:ascii="仿宋" w:hAnsi="仿宋" w:eastAsia="仿宋" w:cs="仿宋"/>
          <w:b/>
          <w:bCs/>
          <w:sz w:val="32"/>
          <w:szCs w:val="32"/>
          <w:lang w:val="en-US"/>
        </w:rPr>
        <w:t>4</w:t>
      </w:r>
    </w:p>
    <w:p>
      <w:pPr>
        <w:widowControl/>
        <w:autoSpaceDE/>
        <w:autoSpaceDN/>
        <w:spacing w:after="120" w:afterLines="50" w:line="570" w:lineRule="exact"/>
        <w:jc w:val="center"/>
        <w:rPr>
          <w:rFonts w:ascii="黑体" w:hAnsi="黑体" w:eastAsia="黑体" w:cs="黑体"/>
          <w:bCs/>
          <w:sz w:val="32"/>
          <w:szCs w:val="32"/>
          <w:lang w:val="en-US" w:bidi="ar-SA"/>
        </w:rPr>
      </w:pPr>
      <w:r>
        <w:rPr>
          <w:rFonts w:hint="eastAsia" w:ascii="黑体" w:hAnsi="黑体" w:eastAsia="黑体" w:cs="黑体"/>
          <w:bCs/>
          <w:sz w:val="32"/>
          <w:szCs w:val="32"/>
          <w:lang w:val="en-US" w:bidi="ar-SA"/>
        </w:rPr>
        <w:t>榆林市房地产开发企业优良信用信息加分表</w:t>
      </w:r>
    </w:p>
    <w:tbl>
      <w:tblPr>
        <w:tblStyle w:val="8"/>
        <w:tblW w:w="9289" w:type="dxa"/>
        <w:tblInd w:w="96" w:type="dxa"/>
        <w:tblLayout w:type="autofit"/>
        <w:tblCellMar>
          <w:top w:w="0" w:type="dxa"/>
          <w:left w:w="108" w:type="dxa"/>
          <w:bottom w:w="0" w:type="dxa"/>
          <w:right w:w="108" w:type="dxa"/>
        </w:tblCellMar>
      </w:tblPr>
      <w:tblGrid>
        <w:gridCol w:w="1199"/>
        <w:gridCol w:w="631"/>
        <w:gridCol w:w="1845"/>
        <w:gridCol w:w="3028"/>
        <w:gridCol w:w="1277"/>
        <w:gridCol w:w="1309"/>
      </w:tblGrid>
      <w:tr>
        <w:tblPrEx>
          <w:tblCellMar>
            <w:top w:w="0" w:type="dxa"/>
            <w:left w:w="108" w:type="dxa"/>
            <w:bottom w:w="0" w:type="dxa"/>
            <w:right w:w="108" w:type="dxa"/>
          </w:tblCellMar>
        </w:tblPrEx>
        <w:trPr>
          <w:trHeight w:val="6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rPr>
            </w:pPr>
            <w:r>
              <w:rPr>
                <w:rFonts w:hint="eastAsia" w:ascii="仿宋" w:hAnsi="仿宋" w:eastAsia="仿宋" w:cs="仿宋"/>
                <w:color w:val="000000"/>
                <w:lang w:val="en-US" w:bidi="ar"/>
              </w:rPr>
              <w:t>行为类别</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序号</w:t>
            </w:r>
          </w:p>
        </w:tc>
        <w:tc>
          <w:tcPr>
            <w:tcW w:w="4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行为描述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加分分值</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备注</w:t>
            </w:r>
          </w:p>
        </w:tc>
      </w:tr>
      <w:tr>
        <w:tblPrEx>
          <w:tblCellMar>
            <w:top w:w="0" w:type="dxa"/>
            <w:left w:w="108" w:type="dxa"/>
            <w:bottom w:w="0" w:type="dxa"/>
            <w:right w:w="108" w:type="dxa"/>
          </w:tblCellMar>
        </w:tblPrEx>
        <w:trPr>
          <w:trHeight w:val="146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开发业绩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color w:val="000000"/>
                <w:sz w:val="24"/>
                <w:szCs w:val="24"/>
              </w:rPr>
            </w:pPr>
            <w:r>
              <w:rPr>
                <w:rFonts w:hint="eastAsia" w:ascii="仿宋" w:hAnsi="仿宋" w:eastAsia="仿宋" w:cs="仿宋"/>
                <w:color w:val="000000"/>
                <w:sz w:val="24"/>
                <w:szCs w:val="24"/>
                <w:lang w:val="en-US" w:bidi="ar"/>
              </w:rPr>
              <w:t>近三年新开发项目（以施工许可证为准）</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累计建筑面积超5万平方米</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关联企业加分项记录一次</w:t>
            </w: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color w:val="000000"/>
                <w:sz w:val="24"/>
                <w:szCs w:val="24"/>
              </w:rPr>
            </w:pPr>
            <w:r>
              <w:rPr>
                <w:rFonts w:hint="eastAsia" w:ascii="仿宋" w:hAnsi="仿宋" w:eastAsia="仿宋" w:cs="仿宋"/>
                <w:color w:val="000000"/>
                <w:sz w:val="24"/>
                <w:szCs w:val="24"/>
                <w:lang w:val="en-US" w:bidi="ar"/>
              </w:rPr>
              <w:t>近三年竣工验收备案项目（以竣工验收备案表为准）</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累计建筑面积超5万平方米</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关联企业加分项记录一次</w:t>
            </w: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3</w:t>
            </w: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color w:val="000000"/>
                <w:sz w:val="24"/>
                <w:szCs w:val="24"/>
              </w:rPr>
            </w:pPr>
            <w:r>
              <w:rPr>
                <w:rFonts w:hint="eastAsia" w:ascii="仿宋" w:hAnsi="仿宋" w:eastAsia="仿宋" w:cs="仿宋"/>
                <w:color w:val="000000"/>
                <w:sz w:val="24"/>
                <w:szCs w:val="24"/>
                <w:lang w:val="en-US" w:bidi="ar"/>
              </w:rPr>
              <w:t>近三年开发建设的项目在规划设计、工程质量、园林景观等方面表彰的，每项</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省、市、县（市、区）政府部门表彰，每项</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同一项目只记录一次</w:t>
            </w:r>
          </w:p>
        </w:tc>
      </w:tr>
      <w:tr>
        <w:tblPrEx>
          <w:tblCellMar>
            <w:top w:w="0" w:type="dxa"/>
            <w:left w:w="108" w:type="dxa"/>
            <w:bottom w:w="0" w:type="dxa"/>
            <w:right w:w="108" w:type="dxa"/>
          </w:tblCellMar>
        </w:tblPrEx>
        <w:trPr>
          <w:trHeight w:val="96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开发项目质量、性能和品质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4</w:t>
            </w: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color w:val="000000"/>
                <w:sz w:val="24"/>
                <w:szCs w:val="24"/>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省、市行业协会表彰，每项</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5</w:t>
            </w:r>
          </w:p>
        </w:tc>
        <w:tc>
          <w:tcPr>
            <w:tcW w:w="184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color w:val="000000"/>
                <w:sz w:val="24"/>
                <w:szCs w:val="24"/>
              </w:rPr>
            </w:pPr>
            <w:r>
              <w:rPr>
                <w:rFonts w:hint="eastAsia" w:ascii="仿宋" w:hAnsi="仿宋" w:eastAsia="仿宋" w:cs="仿宋"/>
                <w:color w:val="000000"/>
                <w:sz w:val="24"/>
                <w:szCs w:val="24"/>
                <w:lang w:val="en-US" w:bidi="ar"/>
              </w:rPr>
              <w:t>近三年开发建设的全装修成品住宅</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建筑面积超过5万平方米</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6</w:t>
            </w:r>
          </w:p>
        </w:tc>
        <w:tc>
          <w:tcPr>
            <w:tcW w:w="1846"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color w:val="000000"/>
                <w:sz w:val="24"/>
                <w:szCs w:val="24"/>
              </w:rPr>
            </w:pPr>
            <w:r>
              <w:rPr>
                <w:rFonts w:hint="eastAsia" w:ascii="仿宋" w:hAnsi="仿宋" w:eastAsia="仿宋" w:cs="仿宋"/>
                <w:color w:val="000000"/>
                <w:sz w:val="24"/>
                <w:szCs w:val="24"/>
                <w:lang w:val="en-US" w:bidi="ar"/>
              </w:rPr>
              <w:t>近三年开发建设的工业化、装配式项目（单体建筑预制装配率不低于30%）</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建筑面积在5万平方米以上</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7</w:t>
            </w:r>
          </w:p>
        </w:tc>
        <w:tc>
          <w:tcPr>
            <w:tcW w:w="487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color w:val="000000"/>
                <w:sz w:val="24"/>
                <w:szCs w:val="24"/>
              </w:rPr>
            </w:pPr>
            <w:r>
              <w:rPr>
                <w:rFonts w:hint="eastAsia" w:ascii="仿宋" w:hAnsi="仿宋" w:eastAsia="仿宋" w:cs="仿宋"/>
                <w:color w:val="000000"/>
                <w:sz w:val="24"/>
                <w:szCs w:val="24"/>
                <w:lang w:val="en-US" w:bidi="ar"/>
              </w:rPr>
              <w:t>近三年开发建设的项目获得绿色建筑标识认定和绿色生态（或健康）住宅小区评定的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8</w:t>
            </w: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color w:val="000000"/>
                <w:sz w:val="24"/>
                <w:szCs w:val="24"/>
              </w:rPr>
            </w:pPr>
            <w:r>
              <w:rPr>
                <w:rFonts w:hint="eastAsia" w:ascii="仿宋" w:hAnsi="仿宋" w:eastAsia="仿宋" w:cs="仿宋"/>
                <w:color w:val="000000"/>
                <w:sz w:val="24"/>
                <w:szCs w:val="24"/>
                <w:lang w:val="en-US" w:bidi="ar"/>
              </w:rPr>
              <w:t>近三年开发建设的项目获得市级以上政府主管部门安全文明施工表彰</w:t>
            </w:r>
          </w:p>
        </w:tc>
        <w:tc>
          <w:tcPr>
            <w:tcW w:w="303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color w:val="000000"/>
                <w:sz w:val="24"/>
                <w:szCs w:val="24"/>
              </w:rPr>
            </w:pPr>
            <w:r>
              <w:rPr>
                <w:rFonts w:hint="eastAsia" w:ascii="仿宋" w:hAnsi="仿宋" w:eastAsia="仿宋" w:cs="仿宋"/>
                <w:color w:val="000000"/>
                <w:sz w:val="24"/>
                <w:szCs w:val="24"/>
                <w:lang w:val="en-US" w:bidi="ar"/>
              </w:rPr>
              <w:t>获省级安全文明施工表彰，每项</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同一项目只记录一次</w:t>
            </w: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9</w:t>
            </w: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color w:val="000000"/>
                <w:sz w:val="24"/>
                <w:szCs w:val="24"/>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color w:val="000000"/>
                <w:sz w:val="24"/>
                <w:szCs w:val="24"/>
              </w:rPr>
            </w:pPr>
            <w:r>
              <w:rPr>
                <w:rFonts w:hint="eastAsia" w:ascii="仿宋" w:hAnsi="仿宋" w:eastAsia="仿宋" w:cs="仿宋"/>
                <w:color w:val="000000"/>
                <w:sz w:val="24"/>
                <w:szCs w:val="24"/>
                <w:lang w:val="en-US" w:bidi="ar"/>
              </w:rPr>
              <w:t>获市级安全文明施工表彰，每项</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9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仿宋" w:hAnsi="仿宋" w:eastAsia="仿宋" w:cs="仿宋"/>
                <w:color w:val="000000"/>
                <w:sz w:val="24"/>
                <w:szCs w:val="24"/>
              </w:rPr>
            </w:pPr>
            <w:r>
              <w:rPr>
                <w:rFonts w:hint="eastAsia" w:ascii="仿宋" w:hAnsi="仿宋" w:eastAsia="仿宋" w:cs="仿宋"/>
                <w:color w:val="000000"/>
                <w:sz w:val="24"/>
                <w:szCs w:val="24"/>
                <w:lang w:val="en-US" w:bidi="ar"/>
              </w:rPr>
              <w:t>企业及负责人获得与企业经营管理相关的表彰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10</w:t>
            </w:r>
          </w:p>
        </w:tc>
        <w:tc>
          <w:tcPr>
            <w:tcW w:w="487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color w:val="000000"/>
                <w:sz w:val="24"/>
                <w:szCs w:val="24"/>
              </w:rPr>
            </w:pPr>
            <w:r>
              <w:rPr>
                <w:rFonts w:hint="eastAsia" w:ascii="仿宋" w:hAnsi="仿宋" w:eastAsia="仿宋" w:cs="仿宋"/>
                <w:color w:val="000000"/>
                <w:sz w:val="24"/>
                <w:szCs w:val="24"/>
                <w:lang w:val="en-US" w:bidi="ar"/>
              </w:rPr>
              <w:t>近三年获的县（市、区）以上相关部门或行业协会表彰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106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履行社会责任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11</w:t>
            </w:r>
          </w:p>
        </w:tc>
        <w:tc>
          <w:tcPr>
            <w:tcW w:w="487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color w:val="000000"/>
                <w:sz w:val="24"/>
                <w:szCs w:val="24"/>
              </w:rPr>
            </w:pPr>
            <w:r>
              <w:rPr>
                <w:rFonts w:hint="eastAsia" w:ascii="仿宋" w:hAnsi="仿宋" w:eastAsia="仿宋" w:cs="仿宋"/>
                <w:color w:val="000000"/>
                <w:sz w:val="24"/>
                <w:szCs w:val="24"/>
                <w:lang w:val="en-US" w:bidi="ar"/>
              </w:rPr>
              <w:t>近三年有积极从事慈善公益活动的捐赠记录，每次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本项加分不超过3分</w:t>
            </w:r>
          </w:p>
        </w:tc>
      </w:tr>
      <w:tr>
        <w:tblPrEx>
          <w:tblCellMar>
            <w:top w:w="0" w:type="dxa"/>
            <w:left w:w="108" w:type="dxa"/>
            <w:bottom w:w="0" w:type="dxa"/>
            <w:right w:w="108" w:type="dxa"/>
          </w:tblCellMar>
        </w:tblPrEx>
        <w:trPr>
          <w:trHeight w:val="10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纳税情况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12</w:t>
            </w:r>
          </w:p>
        </w:tc>
        <w:tc>
          <w:tcPr>
            <w:tcW w:w="487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color w:val="000000"/>
                <w:sz w:val="24"/>
                <w:szCs w:val="24"/>
              </w:rPr>
            </w:pPr>
            <w:r>
              <w:rPr>
                <w:rFonts w:hint="eastAsia" w:ascii="仿宋" w:hAnsi="仿宋" w:eastAsia="仿宋" w:cs="仿宋"/>
                <w:color w:val="000000"/>
                <w:sz w:val="24"/>
                <w:szCs w:val="24"/>
                <w:lang w:val="en-US" w:bidi="ar"/>
              </w:rPr>
              <w:t>近三年，被市、县（市、区）以上纳税部门评为A级纳税企业的，每次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本项加分不超过3分</w:t>
            </w:r>
          </w:p>
        </w:tc>
      </w:tr>
      <w:tr>
        <w:tblPrEx>
          <w:tblCellMar>
            <w:top w:w="0" w:type="dxa"/>
            <w:left w:w="108" w:type="dxa"/>
            <w:bottom w:w="0" w:type="dxa"/>
            <w:right w:w="108" w:type="dxa"/>
          </w:tblCellMar>
        </w:tblPrEx>
        <w:trPr>
          <w:trHeight w:val="12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管理配合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13</w:t>
            </w:r>
          </w:p>
        </w:tc>
        <w:tc>
          <w:tcPr>
            <w:tcW w:w="487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仿宋" w:hAnsi="仿宋" w:eastAsia="仿宋" w:cs="仿宋"/>
                <w:color w:val="000000"/>
                <w:sz w:val="24"/>
                <w:szCs w:val="24"/>
              </w:rPr>
            </w:pPr>
            <w:r>
              <w:rPr>
                <w:rFonts w:hint="eastAsia" w:ascii="仿宋" w:hAnsi="仿宋" w:eastAsia="仿宋" w:cs="仿宋"/>
                <w:color w:val="000000"/>
                <w:sz w:val="24"/>
                <w:szCs w:val="24"/>
                <w:lang w:val="en-US" w:bidi="ar"/>
              </w:rPr>
              <w:t>近三年，积极参与市、县（市、区）政府及房地产主管部门有关开发管理配合事项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130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开发实力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管理及技术人员配置</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房地产经纪、建筑工程或结构类管理及专业技术人员配置超过资质标准的最低限额要求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15</w:t>
            </w:r>
          </w:p>
        </w:tc>
        <w:tc>
          <w:tcPr>
            <w:tcW w:w="4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开发资质等级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一级资质2分</w:t>
            </w:r>
            <w:r>
              <w:rPr>
                <w:rFonts w:hint="eastAsia" w:ascii="仿宋" w:hAnsi="仿宋" w:eastAsia="仿宋" w:cs="仿宋"/>
                <w:color w:val="000000"/>
                <w:sz w:val="24"/>
                <w:szCs w:val="24"/>
                <w:lang w:val="en-US" w:bidi="ar"/>
              </w:rPr>
              <w:br w:type="textWrapping"/>
            </w:r>
            <w:r>
              <w:rPr>
                <w:rFonts w:hint="eastAsia" w:ascii="仿宋" w:hAnsi="仿宋" w:eastAsia="仿宋" w:cs="仿宋"/>
                <w:color w:val="000000"/>
                <w:sz w:val="24"/>
                <w:szCs w:val="24"/>
                <w:lang w:val="en-US" w:bidi="ar"/>
              </w:rPr>
              <w:t>二级资质1分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374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开发经营管理能力和履约诚信水平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质量管理能力</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质量保证体系完善，开发项目的工程质量合格率100%，切实实行了《住宅质量保证书》《住宅使用说明书》制度，没有发生重大投诉，商品房在保修期内无群体性投诉或重大质量责任纠纷，房屋交付后维修保养及时、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按年度申报评价</w:t>
            </w:r>
          </w:p>
        </w:tc>
      </w:tr>
      <w:tr>
        <w:tblPrEx>
          <w:tblCellMar>
            <w:top w:w="0" w:type="dxa"/>
            <w:left w:w="108" w:type="dxa"/>
            <w:bottom w:w="0" w:type="dxa"/>
            <w:right w:w="108" w:type="dxa"/>
          </w:tblCellMar>
        </w:tblPrEx>
        <w:trPr>
          <w:trHeight w:val="20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积极运用“四新”技术</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在商品房开发项目中积极采用新设备、新技术、新材料、新工艺，显著提升住宅性能、抗震性能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创新能力突出</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在房地产开发模式和管理方式上有显著创新，在促进房地产业发展转型升级方面具有行业示范和引领作用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64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19</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履约能力强，诚信水平高</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企业具有较好的履约能力和诚信水平，履行商品房销售合同及设计、施工、监理等合同情况良好，没有发生逾期交房、拖欠合作单位款项和工程款等违约行为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376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商品房销售行为</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严格执行《城市商品房预售管理办法》和《商品房买卖合同示范文本》，没有虚假宣传和捂盘惜售行为，商品房销售合同中没有欺诈、霸王条款，商品房预售款按规定全额监管，按规定使用商品房预售款项，没有挪用预售资金的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264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21</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前期物业管理规范</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前期物业管理规范，开发项目按规定配置、移交物业服务用房、业委会用房，前期物业管理按照主管部门要求的时间、办法选聘物业服务企业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22</w:t>
            </w: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人民银行批准建立的第三方信用机构评定的信用等级</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AAA</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szCs w:val="24"/>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AA</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szCs w:val="24"/>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A</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bl>
    <w:p>
      <w:pPr>
        <w:pStyle w:val="4"/>
        <w:adjustRightInd w:val="0"/>
        <w:snapToGrid w:val="0"/>
        <w:spacing w:line="264" w:lineRule="auto"/>
        <w:rPr>
          <w:rFonts w:ascii="仿宋_GB2312" w:hAnsi="仿宋_GB2312" w:eastAsia="仿宋_GB2312" w:cs="仿宋_GB2312"/>
          <w:spacing w:val="-11"/>
        </w:rPr>
      </w:pPr>
    </w:p>
    <w:p>
      <w:pPr>
        <w:pStyle w:val="4"/>
        <w:adjustRightInd w:val="0"/>
        <w:snapToGrid w:val="0"/>
        <w:spacing w:line="264" w:lineRule="auto"/>
        <w:rPr>
          <w:rFonts w:ascii="仿宋_GB2312" w:hAnsi="仿宋_GB2312" w:eastAsia="仿宋_GB2312" w:cs="仿宋_GB2312"/>
          <w:spacing w:val="-11"/>
        </w:rPr>
      </w:pPr>
      <w:bookmarkStart w:id="4" w:name="_GoBack"/>
      <w:bookmarkEnd w:id="4"/>
    </w:p>
    <w:tbl>
      <w:tblPr>
        <w:tblStyle w:val="8"/>
        <w:tblW w:w="9006" w:type="dxa"/>
        <w:tblInd w:w="96" w:type="dxa"/>
        <w:tblLayout w:type="fixed"/>
        <w:tblCellMar>
          <w:top w:w="0" w:type="dxa"/>
          <w:left w:w="108" w:type="dxa"/>
          <w:bottom w:w="0" w:type="dxa"/>
          <w:right w:w="108" w:type="dxa"/>
        </w:tblCellMar>
      </w:tblPr>
      <w:tblGrid>
        <w:gridCol w:w="1099"/>
        <w:gridCol w:w="708"/>
        <w:gridCol w:w="1763"/>
        <w:gridCol w:w="4621"/>
        <w:gridCol w:w="815"/>
      </w:tblGrid>
      <w:tr>
        <w:tblPrEx>
          <w:tblCellMar>
            <w:top w:w="0" w:type="dxa"/>
            <w:left w:w="108" w:type="dxa"/>
            <w:bottom w:w="0" w:type="dxa"/>
            <w:right w:w="108" w:type="dxa"/>
          </w:tblCellMar>
        </w:tblPrEx>
        <w:trPr>
          <w:trHeight w:val="360" w:hRule="atLeast"/>
        </w:trPr>
        <w:tc>
          <w:tcPr>
            <w:tcW w:w="9006" w:type="dxa"/>
            <w:gridSpan w:val="5"/>
            <w:tcBorders>
              <w:top w:val="nil"/>
              <w:left w:val="nil"/>
              <w:bottom w:val="nil"/>
              <w:right w:val="nil"/>
            </w:tcBorders>
            <w:shd w:val="clear" w:color="auto" w:fill="auto"/>
            <w:noWrap/>
            <w:vAlign w:val="center"/>
          </w:tcPr>
          <w:p>
            <w:pPr>
              <w:widowControl/>
              <w:textAlignment w:val="center"/>
              <w:rPr>
                <w:rFonts w:hint="eastAsia" w:ascii="仿宋_GB2312" w:eastAsia="仿宋_GB2312" w:cs="仿宋_GB2312"/>
                <w:color w:val="000000"/>
                <w:sz w:val="32"/>
                <w:szCs w:val="32"/>
                <w:lang w:eastAsia="zh-CN"/>
              </w:rPr>
            </w:pPr>
            <w:r>
              <w:rPr>
                <w:rFonts w:hint="eastAsia" w:ascii="仿宋_GB2312" w:eastAsia="仿宋_GB2312" w:cs="仿宋_GB2312"/>
                <w:b/>
                <w:bCs/>
                <w:color w:val="000000"/>
                <w:sz w:val="32"/>
                <w:szCs w:val="32"/>
                <w:lang w:val="en-US" w:bidi="ar"/>
              </w:rPr>
              <w:t>附件</w:t>
            </w:r>
            <w:r>
              <w:rPr>
                <w:rFonts w:hint="eastAsia" w:ascii="仿宋_GB2312" w:eastAsia="仿宋_GB2312" w:cs="仿宋_GB2312"/>
                <w:b/>
                <w:bCs/>
                <w:color w:val="000000"/>
                <w:sz w:val="32"/>
                <w:szCs w:val="32"/>
                <w:lang w:val="en-US" w:eastAsia="zh-CN" w:bidi="ar"/>
              </w:rPr>
              <w:t>5</w:t>
            </w:r>
          </w:p>
        </w:tc>
      </w:tr>
      <w:tr>
        <w:tblPrEx>
          <w:tblCellMar>
            <w:top w:w="0" w:type="dxa"/>
            <w:left w:w="108" w:type="dxa"/>
            <w:bottom w:w="0" w:type="dxa"/>
            <w:right w:w="108" w:type="dxa"/>
          </w:tblCellMar>
        </w:tblPrEx>
        <w:trPr>
          <w:trHeight w:val="588" w:hRule="atLeast"/>
        </w:trPr>
        <w:tc>
          <w:tcPr>
            <w:tcW w:w="9006" w:type="dxa"/>
            <w:gridSpan w:val="5"/>
            <w:tcBorders>
              <w:top w:val="nil"/>
              <w:left w:val="nil"/>
              <w:bottom w:val="nil"/>
              <w:right w:val="nil"/>
            </w:tcBorders>
            <w:shd w:val="clear" w:color="auto" w:fill="auto"/>
            <w:noWrap/>
            <w:vAlign w:val="center"/>
          </w:tcPr>
          <w:p>
            <w:pPr>
              <w:widowControl/>
              <w:jc w:val="center"/>
              <w:textAlignment w:val="center"/>
              <w:rPr>
                <w:rFonts w:hint="eastAsia" w:ascii="黑体" w:hAnsi="黑体" w:eastAsia="黑体" w:cs="黑体"/>
                <w:color w:val="000000"/>
                <w:sz w:val="32"/>
                <w:szCs w:val="32"/>
              </w:rPr>
            </w:pPr>
            <w:r>
              <w:rPr>
                <w:rFonts w:hint="eastAsia" w:ascii="黑体" w:hAnsi="黑体" w:eastAsia="黑体" w:cs="黑体"/>
                <w:color w:val="000000"/>
                <w:sz w:val="32"/>
                <w:szCs w:val="32"/>
                <w:lang w:val="en-US" w:bidi="ar"/>
              </w:rPr>
              <w:t>榆林市房地产开发企业不良信用信息扣分表</w:t>
            </w:r>
          </w:p>
        </w:tc>
      </w:tr>
      <w:tr>
        <w:tblPrEx>
          <w:tblCellMar>
            <w:top w:w="0" w:type="dxa"/>
            <w:left w:w="108" w:type="dxa"/>
            <w:bottom w:w="0" w:type="dxa"/>
            <w:right w:w="108" w:type="dxa"/>
          </w:tblCellMar>
        </w:tblPrEx>
        <w:trPr>
          <w:trHeight w:val="654" w:hRule="atLeast"/>
        </w:trPr>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lang w:val="en-US" w:bidi="ar"/>
              </w:rPr>
              <w:t>行为类别</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lang w:val="en-US" w:bidi="ar"/>
              </w:rPr>
              <w:t>序号</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rPr>
            </w:pPr>
            <w:r>
              <w:rPr>
                <w:rFonts w:hint="eastAsia" w:ascii="仿宋" w:hAnsi="仿宋" w:eastAsia="仿宋" w:cs="仿宋"/>
                <w:color w:val="000000"/>
                <w:lang w:val="en-US" w:bidi="ar"/>
              </w:rPr>
              <w:t>行为描述</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lang w:val="en-US" w:bidi="ar"/>
              </w:rPr>
              <w:t>扣分分值</w:t>
            </w:r>
          </w:p>
        </w:tc>
      </w:tr>
      <w:tr>
        <w:tblPrEx>
          <w:tblCellMar>
            <w:top w:w="0" w:type="dxa"/>
            <w:left w:w="108" w:type="dxa"/>
            <w:bottom w:w="0" w:type="dxa"/>
            <w:right w:w="108" w:type="dxa"/>
          </w:tblCellMar>
        </w:tblPrEx>
        <w:trPr>
          <w:trHeight w:val="600" w:hRule="atLeast"/>
        </w:trPr>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textAlignment w:val="center"/>
              <w:rPr>
                <w:rFonts w:ascii="仿宋_GB2312" w:eastAsia="仿宋_GB2312" w:cs="仿宋_GB2312"/>
                <w:color w:val="000000"/>
                <w:sz w:val="24"/>
                <w:szCs w:val="24"/>
                <w:lang w:val="en-US" w:bidi="ar"/>
              </w:rPr>
            </w:pPr>
          </w:p>
          <w:p>
            <w:pPr>
              <w:widowControl/>
              <w:jc w:val="center"/>
              <w:textAlignment w:val="center"/>
              <w:rPr>
                <w:rFonts w:ascii="仿宋_GB2312" w:eastAsia="仿宋_GB2312" w:cs="仿宋_GB2312"/>
                <w:color w:val="000000"/>
                <w:sz w:val="24"/>
                <w:szCs w:val="24"/>
                <w:lang w:val="en-US" w:bidi="ar"/>
              </w:rPr>
            </w:pPr>
            <w:r>
              <w:rPr>
                <w:rFonts w:hint="eastAsia" w:ascii="仿宋_GB2312" w:eastAsia="仿宋_GB2312" w:cs="仿宋_GB2312"/>
                <w:color w:val="000000"/>
                <w:sz w:val="24"/>
                <w:szCs w:val="24"/>
                <w:lang w:val="en-US" w:bidi="ar"/>
              </w:rPr>
              <w:t>资质管理</w:t>
            </w:r>
          </w:p>
          <w:p>
            <w:pPr>
              <w:widowControl/>
              <w:textAlignment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lang w:val="en-US"/>
              </w:rPr>
            </w:pPr>
            <w:r>
              <w:rPr>
                <w:rFonts w:hint="eastAsia" w:ascii="仿宋_GB2312" w:eastAsia="仿宋_GB2312" w:cs="仿宋_GB2312"/>
                <w:color w:val="000000"/>
                <w:sz w:val="24"/>
                <w:szCs w:val="24"/>
                <w:lang w:val="en-US" w:bidi="ar"/>
              </w:rPr>
              <w:t>1.1</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未取得资质证书从事房地产开发经营的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1.2</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未按规定办理资质变更手续的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1.3</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超越资质等级从事房地产开发经营的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w:t>
            </w:r>
          </w:p>
        </w:tc>
      </w:tr>
      <w:tr>
        <w:tblPrEx>
          <w:tblCellMar>
            <w:top w:w="0" w:type="dxa"/>
            <w:left w:w="108" w:type="dxa"/>
            <w:bottom w:w="0" w:type="dxa"/>
            <w:right w:w="108" w:type="dxa"/>
          </w:tblCellMar>
        </w:tblPrEx>
        <w:trPr>
          <w:trHeight w:val="78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1.4</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隐瞒真实情况、弄虚作假骗取资质证书，涂改、出租、出借、转让、出卖资质证书的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w:t>
            </w:r>
          </w:p>
        </w:tc>
      </w:tr>
      <w:tr>
        <w:tblPrEx>
          <w:tblCellMar>
            <w:top w:w="0" w:type="dxa"/>
            <w:left w:w="108" w:type="dxa"/>
            <w:bottom w:w="0" w:type="dxa"/>
            <w:right w:w="108" w:type="dxa"/>
          </w:tblCellMar>
        </w:tblPrEx>
        <w:trPr>
          <w:trHeight w:val="86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1.5</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未按规定到住房城乡建设行政主管部门办理项目手册备案或建立企业信用档案的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104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1.6</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在主管部门日常动态核查中，企业主要管理及技术人员达不到资质等级要求，存在人员不足、兼职、空挂、重复任职等问题的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108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1.7</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企业办公地址、电话、法定代表人、股东、资质等级、关联企业等重要信息发生变化的，不及时在项目手册备案中予以相关信息变更，或故意填报虚假信息的，每次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820" w:hRule="atLeast"/>
        </w:trPr>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项目建设管理行为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2.1</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在项目报建、资质审核、项目手册备案和主管部门日常动态核查中伪造公文、证件、印章的，每次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w:t>
            </w:r>
          </w:p>
        </w:tc>
      </w:tr>
      <w:tr>
        <w:tblPrEx>
          <w:tblCellMar>
            <w:top w:w="0" w:type="dxa"/>
            <w:left w:w="108" w:type="dxa"/>
            <w:bottom w:w="0" w:type="dxa"/>
            <w:right w:w="108" w:type="dxa"/>
          </w:tblCellMar>
        </w:tblPrEx>
        <w:trPr>
          <w:trHeight w:val="74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2.2</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不按时、不完整填报、虚假填报开发项目手册，或不按照要求</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78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cs="仿宋_GB2312"/>
                <w:color w:val="000000"/>
                <w:sz w:val="24"/>
                <w:szCs w:val="24"/>
              </w:rPr>
            </w:pP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向主管部门报送资料、核实项目手册重要信息、关键环节数据信息的，每次</w:t>
            </w: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cs="仿宋_GB2312"/>
                <w:color w:val="000000"/>
                <w:sz w:val="24"/>
                <w:szCs w:val="24"/>
              </w:rPr>
            </w:pPr>
          </w:p>
        </w:tc>
      </w:tr>
      <w:tr>
        <w:tblPrEx>
          <w:tblCellMar>
            <w:top w:w="0" w:type="dxa"/>
            <w:left w:w="108" w:type="dxa"/>
            <w:bottom w:w="0" w:type="dxa"/>
            <w:right w:w="108" w:type="dxa"/>
          </w:tblCellMar>
        </w:tblPrEx>
        <w:trPr>
          <w:trHeight w:val="8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2.3</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违反土地管理法律法规，经自然资源管理部门认定，构成违法用地或者闲置土地的，每项</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2.4</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未经依法批准，改变规划条件、规划许可内容进行建设的，每次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2.5</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未按规定进行规划公示或公告的，每次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2.6</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擅自更改工程勘察、设计文件的，每次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2.7</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施工图设计文件未经审查或审查不合格，擅自施工的，每次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w:t>
            </w:r>
          </w:p>
        </w:tc>
      </w:tr>
      <w:tr>
        <w:tblPrEx>
          <w:tblCellMar>
            <w:top w:w="0" w:type="dxa"/>
            <w:left w:w="108" w:type="dxa"/>
            <w:bottom w:w="0" w:type="dxa"/>
            <w:right w:w="108" w:type="dxa"/>
          </w:tblCellMar>
        </w:tblPrEx>
        <w:trPr>
          <w:trHeight w:val="72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2.8</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未取得施工许可证擅自施工的，或超越施工许可证范围施工的，每次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76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2.9</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违反招投标法律法规，将工程发包或分包给不具有相应资质条件单位承担的，每次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92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 xml:space="preserve">2.10 </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明示、暗示工程勘察设计、施工企业违反工程建设强制性标准的，每次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w:t>
            </w:r>
          </w:p>
        </w:tc>
      </w:tr>
      <w:tr>
        <w:tblPrEx>
          <w:tblCellMar>
            <w:top w:w="0" w:type="dxa"/>
            <w:left w:w="108" w:type="dxa"/>
            <w:bottom w:w="0" w:type="dxa"/>
            <w:right w:w="108" w:type="dxa"/>
          </w:tblCellMar>
        </w:tblPrEx>
        <w:trPr>
          <w:trHeight w:val="84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2.11</w:t>
            </w: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开发项目违反有关工程质量安全标准、规范、规程，或违反建设单位责任</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发生重大工程质量问题或特大安全事故的，每次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10</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cs="仿宋_GB2312"/>
                <w:color w:val="000000"/>
                <w:sz w:val="24"/>
                <w:szCs w:val="24"/>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仿宋_GB2312"/>
                <w:color w:val="000000"/>
                <w:sz w:val="24"/>
                <w:szCs w:val="24"/>
              </w:rPr>
            </w:pP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发生严重工程质量问题或较大、重大安全事故的，每次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cs="仿宋_GB2312"/>
                <w:color w:val="000000"/>
                <w:sz w:val="24"/>
                <w:szCs w:val="24"/>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仿宋_GB2312"/>
                <w:color w:val="000000"/>
                <w:sz w:val="24"/>
                <w:szCs w:val="24"/>
              </w:rPr>
            </w:pP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发生一般质量问题或安全事故的，每次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104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cs="仿宋_GB2312"/>
                <w:color w:val="000000"/>
                <w:sz w:val="24"/>
                <w:szCs w:val="24"/>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仿宋_GB2312"/>
                <w:color w:val="000000"/>
                <w:sz w:val="24"/>
                <w:szCs w:val="24"/>
              </w:rPr>
            </w:pP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发生质量问题或安全事故，或出现质量安全隐患时，拒不整改，或不在规定时间内完成整改，或整改不力的，每次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2.12</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授意施工单位违反安全文明施工管理规定的，每次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2.13</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不按时缴纳或补齐缓交报建费的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2.14</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建筑工地违反夜间施工许可管理规定的，每次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w:t>
            </w:r>
          </w:p>
        </w:tc>
      </w:tr>
      <w:tr>
        <w:tblPrEx>
          <w:tblCellMar>
            <w:top w:w="0" w:type="dxa"/>
            <w:left w:w="108" w:type="dxa"/>
            <w:bottom w:w="0" w:type="dxa"/>
            <w:right w:w="108" w:type="dxa"/>
          </w:tblCellMar>
        </w:tblPrEx>
        <w:trPr>
          <w:trHeight w:val="78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2.15</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未按照规划和规定时间配建、移交应由开发企业建设的公建配套设施的，每个项目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8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2.16</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未按照土地出让合同约定的建设条件开竣工，或未按照约定的其他建设条件开发建设的，每项</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78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2.17</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未按照合同约定支付工程设计费、监理费、工程款、材料款等款项的，每项</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78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2.18</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因拖欠工程款导致施工单位拖欠农民工工资，引发群体上访的，每次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2.19</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在建设过程中因资金链断裂停工12个月以上的，每个项目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w:t>
            </w:r>
          </w:p>
        </w:tc>
      </w:tr>
      <w:tr>
        <w:tblPrEx>
          <w:tblCellMar>
            <w:top w:w="0" w:type="dxa"/>
            <w:left w:w="108" w:type="dxa"/>
            <w:bottom w:w="0" w:type="dxa"/>
            <w:right w:w="108" w:type="dxa"/>
          </w:tblCellMar>
        </w:tblPrEx>
        <w:trPr>
          <w:trHeight w:val="8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2.2</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开发项目未按规定竣工验收、或未按规定办理竣工验收备案手续的，每个项目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96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2.21</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开发项目未经竣工验收或竣工验收不合格，或未达到合同约定交付条件，擅自向购房人交房或强行交房的，每个项目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6</w:t>
            </w:r>
          </w:p>
        </w:tc>
      </w:tr>
      <w:tr>
        <w:tblPrEx>
          <w:tblCellMar>
            <w:top w:w="0" w:type="dxa"/>
            <w:left w:w="108" w:type="dxa"/>
            <w:bottom w:w="0" w:type="dxa"/>
            <w:right w:w="108" w:type="dxa"/>
          </w:tblCellMar>
        </w:tblPrEx>
        <w:trPr>
          <w:trHeight w:val="84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2.22</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不能按照合同约定时间向购房人交房，未能妥善处理矛盾纠纷、导致群访群诉的，每次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w:t>
            </w:r>
          </w:p>
        </w:tc>
      </w:tr>
      <w:tr>
        <w:tblPrEx>
          <w:tblCellMar>
            <w:top w:w="0" w:type="dxa"/>
            <w:left w:w="108" w:type="dxa"/>
            <w:bottom w:w="0" w:type="dxa"/>
            <w:right w:w="108" w:type="dxa"/>
          </w:tblCellMar>
        </w:tblPrEx>
        <w:trPr>
          <w:trHeight w:val="114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2.23</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交付商品房时未按规定向购买人提供《住宅质量保证书》、《住宅使用说明书》的，或者《住宅质量保证书》、《住宅使用说明书》不规范的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108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2.24</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未按要求向城乡规划部门报送规划核实相关资料或未依法办理竣工验收备案，未在法定时限内移交建设工程档案的，每次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w:t>
            </w:r>
          </w:p>
        </w:tc>
      </w:tr>
      <w:tr>
        <w:tblPrEx>
          <w:tblCellMar>
            <w:top w:w="0" w:type="dxa"/>
            <w:left w:w="108" w:type="dxa"/>
            <w:bottom w:w="0" w:type="dxa"/>
            <w:right w:w="108" w:type="dxa"/>
          </w:tblCellMar>
        </w:tblPrEx>
        <w:trPr>
          <w:trHeight w:val="108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2.25</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开发项目存在违法改变规划条件增加容积率，被行政处罚的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6</w:t>
            </w:r>
          </w:p>
        </w:tc>
      </w:tr>
      <w:tr>
        <w:tblPrEx>
          <w:tblCellMar>
            <w:top w:w="0" w:type="dxa"/>
            <w:left w:w="108" w:type="dxa"/>
            <w:bottom w:w="0" w:type="dxa"/>
            <w:right w:w="108" w:type="dxa"/>
          </w:tblCellMar>
        </w:tblPrEx>
        <w:trPr>
          <w:trHeight w:val="74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2.26</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擅自变更节能设计，取消建筑节能措施，未遵守强制性条文的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98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2.27</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对不符合民用建筑节能强制性标准的民用建筑出具竣工验收合格报告的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2.28</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未按规定委托开展绿色建筑设计、图审、施工的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760" w:hRule="atLeast"/>
        </w:trPr>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both"/>
              <w:textAlignment w:val="center"/>
              <w:rPr>
                <w:rFonts w:ascii="仿宋_GB2312" w:eastAsia="仿宋_GB2312" w:cs="仿宋_GB2312"/>
                <w:color w:val="000000"/>
                <w:sz w:val="24"/>
                <w:szCs w:val="24"/>
                <w:lang w:val="en-US" w:bidi="ar"/>
              </w:rPr>
            </w:pPr>
          </w:p>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bdr w:val="single" w:color="000000" w:sz="4" w:space="0"/>
                <w:lang w:val="en-US"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3606800</wp:posOffset>
                  </wp:positionV>
                  <wp:extent cx="236220" cy="22860"/>
                  <wp:effectExtent l="0" t="0" r="0" b="0"/>
                  <wp:wrapNone/>
                  <wp:docPr id="4" name="图片_8"/>
                  <wp:cNvGraphicFramePr/>
                  <a:graphic xmlns:a="http://schemas.openxmlformats.org/drawingml/2006/main">
                    <a:graphicData uri="http://schemas.openxmlformats.org/drawingml/2006/picture">
                      <pic:pic xmlns:pic="http://schemas.openxmlformats.org/drawingml/2006/picture">
                        <pic:nvPicPr>
                          <pic:cNvPr id="4" name="图片_8"/>
                          <pic:cNvPicPr/>
                        </pic:nvPicPr>
                        <pic:blipFill>
                          <a:blip r:embed="rId5"/>
                          <a:stretch>
                            <a:fillRect/>
                          </a:stretch>
                        </pic:blipFill>
                        <pic:spPr>
                          <a:xfrm>
                            <a:off x="0" y="0"/>
                            <a:ext cx="236220" cy="22860"/>
                          </a:xfrm>
                          <a:prstGeom prst="rect">
                            <a:avLst/>
                          </a:prstGeom>
                          <a:noFill/>
                          <a:ln>
                            <a:noFill/>
                          </a:ln>
                        </pic:spPr>
                      </pic:pic>
                    </a:graphicData>
                  </a:graphic>
                </wp:anchor>
              </w:drawing>
            </w:r>
            <w:r>
              <w:rPr>
                <w:rFonts w:hint="eastAsia" w:ascii="仿宋_GB2312" w:eastAsia="仿宋_GB2312" w:cs="仿宋_GB2312"/>
                <w:color w:val="000000"/>
                <w:sz w:val="24"/>
                <w:szCs w:val="24"/>
                <w:lang w:val="en-US" w:bidi="ar"/>
              </w:rPr>
              <w:t>商品房预销售管理行为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3.1</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未取得预售许可证或销售许可证，擅自预（销）售或变相预（销）售商品房，每次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w:t>
            </w:r>
          </w:p>
        </w:tc>
      </w:tr>
      <w:tr>
        <w:tblPrEx>
          <w:tblCellMar>
            <w:top w:w="0" w:type="dxa"/>
            <w:left w:w="108" w:type="dxa"/>
            <w:bottom w:w="0" w:type="dxa"/>
            <w:right w:w="108" w:type="dxa"/>
          </w:tblCellMar>
        </w:tblPrEx>
        <w:trPr>
          <w:trHeight w:val="94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3.2</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在办理预售许可证时提供虚假材料，或以不正当手段取得预售许可证的，每次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6</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3.3</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未按规定缴存、使用商品房预售资金款的，每次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3.4</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挪用商品房预售资金款的，每次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w:t>
            </w:r>
          </w:p>
        </w:tc>
      </w:tr>
      <w:tr>
        <w:tblPrEx>
          <w:tblCellMar>
            <w:top w:w="0" w:type="dxa"/>
            <w:left w:w="108" w:type="dxa"/>
            <w:bottom w:w="0" w:type="dxa"/>
            <w:right w:w="108" w:type="dxa"/>
          </w:tblCellMar>
        </w:tblPrEx>
        <w:trPr>
          <w:trHeight w:val="88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3.5</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未解除商品房买卖合同，将作为合同标的物的商品房再行销售他人的，每次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w:t>
            </w:r>
          </w:p>
        </w:tc>
      </w:tr>
      <w:tr>
        <w:tblPrEx>
          <w:tblCellMar>
            <w:top w:w="0" w:type="dxa"/>
            <w:left w:w="108" w:type="dxa"/>
            <w:bottom w:w="0" w:type="dxa"/>
            <w:right w:w="108" w:type="dxa"/>
          </w:tblCellMar>
        </w:tblPrEx>
        <w:trPr>
          <w:trHeight w:val="11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3.6</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未按规定向买受人明示《商品房买卖合同示范文本》，或销售现场公示内容不全的，或未按照规定在销售现场公示建设条件相关内容的，每次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w:t>
            </w:r>
          </w:p>
        </w:tc>
      </w:tr>
      <w:tr>
        <w:tblPrEx>
          <w:tblCellMar>
            <w:top w:w="0" w:type="dxa"/>
            <w:left w:w="108" w:type="dxa"/>
            <w:bottom w:w="0" w:type="dxa"/>
            <w:right w:w="108" w:type="dxa"/>
          </w:tblCellMar>
        </w:tblPrEx>
        <w:trPr>
          <w:trHeight w:val="8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3.7</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在商品房销售中发布虚假广告，或作欺骗性、误导性宣传的，每次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68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3.8</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返本销售或变相返本销售商品房的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74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3.9</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采取售后包租或者变相售后包租方式销售未竣工商品房的</w:t>
            </w:r>
          </w:p>
        </w:tc>
        <w:tc>
          <w:tcPr>
            <w:tcW w:w="81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7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 xml:space="preserve">3.10 </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分割拆零销售商品住宅的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74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3.11</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不符合商品房销售条件，向买受人收取预订款性质费用的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9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3.12</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将未组织竣工验收、验收不合格或者对不合格按合格验收的商品房擅自交付使用的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3.13</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委托没有资格的机构代理销售商品房的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3.14</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未按规定的现售条件现售商品房的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w:t>
            </w:r>
          </w:p>
        </w:tc>
      </w:tr>
      <w:tr>
        <w:tblPrEx>
          <w:tblCellMar>
            <w:top w:w="0" w:type="dxa"/>
            <w:left w:w="108" w:type="dxa"/>
            <w:bottom w:w="0" w:type="dxa"/>
            <w:right w:w="108" w:type="dxa"/>
          </w:tblCellMar>
        </w:tblPrEx>
        <w:trPr>
          <w:trHeight w:val="10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3.15</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未按照规定在商品房现信前将房地产开发项目手册及符合商品房现售条件的有关证明文件报送房地产开发主管部门备类的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3.16</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擅自转让房地产开发项目的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3.17</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垄断房源，操纵后价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3.18</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捂盘借售或者变相囤积房源</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w:t>
            </w:r>
          </w:p>
        </w:tc>
      </w:tr>
      <w:tr>
        <w:tblPrEx>
          <w:tblCellMar>
            <w:top w:w="0" w:type="dxa"/>
            <w:left w:w="108" w:type="dxa"/>
            <w:bottom w:w="0" w:type="dxa"/>
            <w:right w:w="108" w:type="dxa"/>
          </w:tblCellMar>
        </w:tblPrEx>
        <w:trPr>
          <w:trHeight w:val="114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3.19</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通过报纸、广播、电视、网站、新媒体等途径捏造，散布房地产虚假信息，以及雇佣人员制造抢房假象等方式，恶意炒作，哄抬房价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w:t>
            </w:r>
          </w:p>
        </w:tc>
      </w:tr>
      <w:tr>
        <w:tblPrEx>
          <w:tblCellMar>
            <w:top w:w="0" w:type="dxa"/>
            <w:left w:w="108" w:type="dxa"/>
            <w:bottom w:w="0" w:type="dxa"/>
            <w:right w:w="108" w:type="dxa"/>
          </w:tblCellMar>
        </w:tblPrEx>
        <w:trPr>
          <w:trHeight w:val="600" w:hRule="atLeast"/>
        </w:trPr>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前期物业管理服务行为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4.1</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销售物业前，未拟定业主临时管理规约的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4.2</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不按照前期物业管理合同约定向物业服务企业移交物业的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w:t>
            </w:r>
          </w:p>
        </w:tc>
      </w:tr>
      <w:tr>
        <w:tblPrEx>
          <w:tblCellMar>
            <w:top w:w="0" w:type="dxa"/>
            <w:left w:w="108" w:type="dxa"/>
            <w:bottom w:w="0" w:type="dxa"/>
            <w:right w:w="108" w:type="dxa"/>
          </w:tblCellMar>
        </w:tblPrEx>
        <w:trPr>
          <w:trHeight w:val="84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4.3</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擅自处分属于业主的物业共用部位、共用设施设备的所有权或使用权</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4.4</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未按照《物业承接查验办法》规定向物业企业进行书面移交、查验问题不予整政的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4.5</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不按时移交物业服务用房、业主委员会用房和相关资料的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4.6</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在未报告申请成立业主大会前，不承担住宅共用部位、共用设施维修，更新改造责任的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126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4.7</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不按规定在建设规划方案上标明物业服务用房及面积的，或未在物业管理区域内按规定配置物业服务用房、业主委员会用房的，每个项目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4.8</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拒交、缓交，挪用住宅专项维修资金的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4.9</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未按照当地主管部门要求的时间、办法选聘物业服务企业的，每个项目</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 xml:space="preserve">4.10 </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拒不支付未售出房屋物业费的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600" w:hRule="atLeast"/>
        </w:trPr>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其他不良行为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5.1</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企业对购房者投诉的问题推卸责任，拒不整改或整改不力的，每次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5.2</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商品房交付后，不按规定承担保修责任的，每次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4</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5.3</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非法集资造成恶劣社会影响的，或涉嫌非法集资被公安机关立案查处的</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w:t>
            </w:r>
          </w:p>
        </w:tc>
      </w:tr>
      <w:tr>
        <w:tblPrEx>
          <w:tblCellMar>
            <w:top w:w="0" w:type="dxa"/>
            <w:left w:w="108" w:type="dxa"/>
            <w:bottom w:w="0" w:type="dxa"/>
            <w:right w:w="108" w:type="dxa"/>
          </w:tblCellMar>
        </w:tblPrEx>
        <w:trPr>
          <w:trHeight w:val="8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5.4</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拒不履行主管部门的行政处罚决定或人民法院判决、仲裁机关裁定的，或被列入人民法院失信被执行人名单的，每次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w:t>
            </w:r>
          </w:p>
        </w:tc>
      </w:tr>
      <w:tr>
        <w:tblPrEx>
          <w:tblCellMar>
            <w:top w:w="0" w:type="dxa"/>
            <w:left w:w="108" w:type="dxa"/>
            <w:bottom w:w="0" w:type="dxa"/>
            <w:right w:w="108" w:type="dxa"/>
          </w:tblCellMar>
        </w:tblPrEx>
        <w:trPr>
          <w:trHeight w:val="68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5.5</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不配合主管部门依法开展房地产开发日常监管活动的，每次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3</w:t>
            </w:r>
          </w:p>
        </w:tc>
      </w:tr>
      <w:tr>
        <w:tblPrEx>
          <w:tblCellMar>
            <w:top w:w="0" w:type="dxa"/>
            <w:left w:w="108" w:type="dxa"/>
            <w:bottom w:w="0" w:type="dxa"/>
            <w:right w:w="108" w:type="dxa"/>
          </w:tblCellMar>
        </w:tblPrEx>
        <w:trPr>
          <w:trHeight w:val="94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5.6</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不按照规定参加房地产主管部门开展的法规政策培训或有关开发管理会议的，每次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w:t>
            </w:r>
          </w:p>
        </w:tc>
      </w:tr>
      <w:tr>
        <w:tblPrEx>
          <w:tblCellMar>
            <w:top w:w="0" w:type="dxa"/>
            <w:left w:w="108" w:type="dxa"/>
            <w:bottom w:w="0" w:type="dxa"/>
            <w:right w:w="108" w:type="dxa"/>
          </w:tblCellMar>
        </w:tblPrEx>
        <w:trPr>
          <w:trHeight w:val="60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仿宋_GB2312" w:eastAsia="仿宋_GB2312" w:cs="仿宋_GB2312"/>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5.7</w:t>
            </w:r>
          </w:p>
        </w:tc>
        <w:tc>
          <w:tcPr>
            <w:tcW w:w="6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不按照规定向主管部门报送统计报表的，或报表存在虚假数据的，每次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2</w:t>
            </w:r>
          </w:p>
        </w:tc>
      </w:tr>
      <w:tr>
        <w:tblPrEx>
          <w:tblCellMar>
            <w:top w:w="0" w:type="dxa"/>
            <w:left w:w="108" w:type="dxa"/>
            <w:bottom w:w="0" w:type="dxa"/>
            <w:right w:w="108" w:type="dxa"/>
          </w:tblCellMar>
        </w:tblPrEx>
        <w:trPr>
          <w:trHeight w:val="960" w:hRule="atLeast"/>
        </w:trPr>
        <w:tc>
          <w:tcPr>
            <w:tcW w:w="9006" w:type="dxa"/>
            <w:gridSpan w:val="5"/>
            <w:tcBorders>
              <w:top w:val="nil"/>
              <w:left w:val="nil"/>
              <w:bottom w:val="nil"/>
              <w:right w:val="nil"/>
            </w:tcBorders>
            <w:shd w:val="clear" w:color="auto" w:fill="auto"/>
          </w:tcPr>
          <w:p>
            <w:pPr>
              <w:widowControl/>
              <w:textAlignment w:val="top"/>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说明：1.企业评价起评分为70分，满分100分</w:t>
            </w:r>
            <w:r>
              <w:rPr>
                <w:rFonts w:hint="eastAsia" w:ascii="仿宋_GB2312" w:eastAsia="仿宋_GB2312" w:cs="仿宋_GB2312"/>
                <w:color w:val="000000"/>
                <w:sz w:val="24"/>
                <w:szCs w:val="24"/>
                <w:lang w:val="en-US" w:bidi="ar"/>
              </w:rPr>
              <w:br w:type="textWrapping"/>
            </w:r>
            <w:r>
              <w:rPr>
                <w:rFonts w:hint="eastAsia" w:ascii="仿宋_GB2312" w:eastAsia="仿宋_GB2312" w:cs="仿宋_GB2312"/>
                <w:color w:val="000000"/>
                <w:sz w:val="24"/>
                <w:szCs w:val="24"/>
                <w:lang w:val="en-US" w:bidi="ar"/>
              </w:rPr>
              <w:t xml:space="preserve">      2.同一企业同一事项不同奖惩时，不重复计算，以最高值计分</w:t>
            </w:r>
          </w:p>
        </w:tc>
      </w:tr>
    </w:tbl>
    <w:p>
      <w:pPr>
        <w:pStyle w:val="4"/>
        <w:adjustRightInd w:val="0"/>
        <w:snapToGrid w:val="0"/>
        <w:spacing w:line="264" w:lineRule="auto"/>
        <w:rPr>
          <w:rFonts w:ascii="仿宋_GB2312" w:hAnsi="仿宋_GB2312" w:eastAsia="仿宋_GB2312" w:cs="仿宋_GB2312"/>
          <w:spacing w:val="-11"/>
        </w:rPr>
      </w:pPr>
    </w:p>
    <w:p>
      <w:pPr>
        <w:tabs>
          <w:tab w:val="left" w:pos="1574"/>
        </w:tabs>
        <w:spacing w:line="400" w:lineRule="exact"/>
        <w:ind w:right="139" w:rightChars="63"/>
        <w:rPr>
          <w:rFonts w:ascii="仿宋_GB2312" w:hAnsi="仿宋_GB2312" w:eastAsia="仿宋_GB2312" w:cs="仿宋_GB2312"/>
          <w:sz w:val="32"/>
          <w:szCs w:val="32"/>
        </w:rPr>
      </w:pPr>
    </w:p>
    <w:sectPr>
      <w:footerReference r:id="rId3" w:type="default"/>
      <w:pgSz w:w="11910" w:h="16840"/>
      <w:pgMar w:top="1417" w:right="1474" w:bottom="1417" w:left="1587" w:header="720" w:footer="720" w:gutter="0"/>
      <w:pgNumType w:fmt="numberInDash"/>
      <w:cols w:space="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创艺繁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超研澤中粗隸">
    <w:panose1 w:val="02010609010101010101"/>
    <w:charset w:val="00"/>
    <w:family w:val="auto"/>
    <w:pitch w:val="default"/>
    <w:sig w:usb0="00000000" w:usb1="00000000" w:usb2="00000000" w:usb3="00000000" w:csb0="00000000" w:csb1="00000000"/>
  </w:font>
  <w:font w:name="创艺繁标宋">
    <w:panose1 w:val="00000000000000000000"/>
    <w:charset w:val="00"/>
    <w:family w:val="auto"/>
    <w:pitch w:val="default"/>
    <w:sig w:usb0="00000000" w:usb1="00000000" w:usb2="00000000" w:usb3="00000000" w:csb0="00000000" w:csb1="00000000"/>
  </w:font>
  <w:font w:name="方正华隶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0" w:firstLine="0"/>
      </w:pPr>
    </w:lvl>
    <w:lvl w:ilvl="1" w:tentative="0">
      <w:start w:val="1"/>
      <w:numFmt w:val="decimal"/>
      <w:lvlText w:val="%1.%2"/>
      <w:lvlJc w:val="left"/>
      <w:pPr>
        <w:ind w:left="425" w:firstLine="0"/>
      </w:pPr>
    </w:lvl>
    <w:lvl w:ilvl="2" w:tentative="0">
      <w:start w:val="1"/>
      <w:numFmt w:val="decimal"/>
      <w:lvlText w:val="%1.%2.%3"/>
      <w:lvlJc w:val="left"/>
      <w:pPr>
        <w:ind w:left="851" w:firstLine="0"/>
      </w:pPr>
    </w:lvl>
    <w:lvl w:ilvl="3" w:tentative="0">
      <w:start w:val="1"/>
      <w:numFmt w:val="decimal"/>
      <w:lvlText w:val="%1.%2.%3.%4"/>
      <w:lvlJc w:val="left"/>
      <w:pPr>
        <w:ind w:left="142" w:firstLine="0"/>
      </w:pPr>
    </w:lvl>
    <w:lvl w:ilvl="4" w:tentative="0">
      <w:start w:val="1"/>
      <w:numFmt w:val="decimal"/>
      <w:pStyle w:val="2"/>
      <w:lvlText w:val="%1.%2.%3.%4.%5"/>
      <w:lvlJc w:val="left"/>
      <w:pPr>
        <w:ind w:left="1701" w:firstLine="0"/>
      </w:pPr>
    </w:lvl>
    <w:lvl w:ilvl="5" w:tentative="0">
      <w:start w:val="1"/>
      <w:numFmt w:val="decimal"/>
      <w:lvlText w:val="%1.%2.%3.%4.%5.%6"/>
      <w:lvlJc w:val="left"/>
      <w:pPr>
        <w:ind w:left="0" w:firstLine="0"/>
      </w:pPr>
    </w:lvl>
    <w:lvl w:ilvl="6" w:tentative="0">
      <w:start w:val="1"/>
      <w:numFmt w:val="decimal"/>
      <w:lvlText w:val="%1.%2.%3.%4.%5.%6.%7"/>
      <w:lvlJc w:val="left"/>
      <w:pPr>
        <w:ind w:left="2551" w:firstLine="0"/>
      </w:pPr>
    </w:lvl>
    <w:lvl w:ilvl="7" w:tentative="0">
      <w:start w:val="1"/>
      <w:numFmt w:val="decimal"/>
      <w:lvlText w:val="%1.%2.%3.%4.%5.%6.%7.%8"/>
      <w:lvlJc w:val="left"/>
      <w:pPr>
        <w:ind w:left="2976" w:firstLine="0"/>
      </w:pPr>
    </w:lvl>
    <w:lvl w:ilvl="8" w:tentative="0">
      <w:start w:val="1"/>
      <w:numFmt w:val="decimal"/>
      <w:lvlText w:val="%1.%2.%3.%4.%5.%6.%7.%8.%9"/>
      <w:lvlJc w:val="left"/>
      <w:pPr>
        <w:ind w:left="3402"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NmM1MTU2NDU3OTkxMzI0YjZkMTk1YzlhNzAyMTMifQ=="/>
  </w:docVars>
  <w:rsids>
    <w:rsidRoot w:val="00C50AB7"/>
    <w:rsid w:val="00041FBB"/>
    <w:rsid w:val="000C79C7"/>
    <w:rsid w:val="001D0C3C"/>
    <w:rsid w:val="0020710D"/>
    <w:rsid w:val="002250D9"/>
    <w:rsid w:val="00232C12"/>
    <w:rsid w:val="0024584D"/>
    <w:rsid w:val="003076FC"/>
    <w:rsid w:val="003D5627"/>
    <w:rsid w:val="00400AB3"/>
    <w:rsid w:val="0041238C"/>
    <w:rsid w:val="00536111"/>
    <w:rsid w:val="00672B70"/>
    <w:rsid w:val="00684FD7"/>
    <w:rsid w:val="0069666C"/>
    <w:rsid w:val="006C492A"/>
    <w:rsid w:val="006F43E3"/>
    <w:rsid w:val="006F591C"/>
    <w:rsid w:val="007E55B2"/>
    <w:rsid w:val="008140DC"/>
    <w:rsid w:val="008A2A25"/>
    <w:rsid w:val="00953011"/>
    <w:rsid w:val="00956C4E"/>
    <w:rsid w:val="00967606"/>
    <w:rsid w:val="009825FE"/>
    <w:rsid w:val="009929EE"/>
    <w:rsid w:val="009E2FE6"/>
    <w:rsid w:val="00AA7CA0"/>
    <w:rsid w:val="00AB3105"/>
    <w:rsid w:val="00AB48D5"/>
    <w:rsid w:val="00B6776C"/>
    <w:rsid w:val="00C23C4E"/>
    <w:rsid w:val="00C50AB7"/>
    <w:rsid w:val="00C530A4"/>
    <w:rsid w:val="00C6486D"/>
    <w:rsid w:val="00CD55FF"/>
    <w:rsid w:val="00CE6E34"/>
    <w:rsid w:val="00D713E0"/>
    <w:rsid w:val="00DD7B05"/>
    <w:rsid w:val="00E1283B"/>
    <w:rsid w:val="00E5295F"/>
    <w:rsid w:val="00EE300E"/>
    <w:rsid w:val="00F442A8"/>
    <w:rsid w:val="00F56B36"/>
    <w:rsid w:val="024617F2"/>
    <w:rsid w:val="03D270B5"/>
    <w:rsid w:val="053C3C95"/>
    <w:rsid w:val="05705359"/>
    <w:rsid w:val="05801699"/>
    <w:rsid w:val="0633491C"/>
    <w:rsid w:val="075764C8"/>
    <w:rsid w:val="08DC3A98"/>
    <w:rsid w:val="09C91B1B"/>
    <w:rsid w:val="09F74B08"/>
    <w:rsid w:val="0AAB791E"/>
    <w:rsid w:val="0AE01E0C"/>
    <w:rsid w:val="0AF868ED"/>
    <w:rsid w:val="0C057E5F"/>
    <w:rsid w:val="0C9B477D"/>
    <w:rsid w:val="0CC10406"/>
    <w:rsid w:val="0D6A2217"/>
    <w:rsid w:val="0D8200DD"/>
    <w:rsid w:val="0D9A6A7E"/>
    <w:rsid w:val="0E226322"/>
    <w:rsid w:val="0F0E4696"/>
    <w:rsid w:val="0F8964A2"/>
    <w:rsid w:val="1202468E"/>
    <w:rsid w:val="13496A92"/>
    <w:rsid w:val="151B6B0E"/>
    <w:rsid w:val="16B56ED2"/>
    <w:rsid w:val="16F470BF"/>
    <w:rsid w:val="17874FF1"/>
    <w:rsid w:val="17942BA8"/>
    <w:rsid w:val="19915361"/>
    <w:rsid w:val="1A0E760E"/>
    <w:rsid w:val="1B071D30"/>
    <w:rsid w:val="1B726EB7"/>
    <w:rsid w:val="1C994C17"/>
    <w:rsid w:val="1D6A20D8"/>
    <w:rsid w:val="1DDF1BF0"/>
    <w:rsid w:val="1DE13414"/>
    <w:rsid w:val="1F7C136A"/>
    <w:rsid w:val="1FD73488"/>
    <w:rsid w:val="203E0B6A"/>
    <w:rsid w:val="22EF5136"/>
    <w:rsid w:val="238C13C1"/>
    <w:rsid w:val="254660C5"/>
    <w:rsid w:val="254A74EB"/>
    <w:rsid w:val="254B4C76"/>
    <w:rsid w:val="274E7434"/>
    <w:rsid w:val="27D57CC4"/>
    <w:rsid w:val="28E45A50"/>
    <w:rsid w:val="296B4718"/>
    <w:rsid w:val="2D500C6C"/>
    <w:rsid w:val="2DCB2020"/>
    <w:rsid w:val="2E663675"/>
    <w:rsid w:val="32A30632"/>
    <w:rsid w:val="32E5167A"/>
    <w:rsid w:val="345A77CE"/>
    <w:rsid w:val="355B0EE8"/>
    <w:rsid w:val="368D4C4F"/>
    <w:rsid w:val="36A56E49"/>
    <w:rsid w:val="36D07968"/>
    <w:rsid w:val="37BE35FD"/>
    <w:rsid w:val="380038E6"/>
    <w:rsid w:val="399D4A6B"/>
    <w:rsid w:val="3A6B2FEF"/>
    <w:rsid w:val="3A8C3BAF"/>
    <w:rsid w:val="3AB201EA"/>
    <w:rsid w:val="3AD8323B"/>
    <w:rsid w:val="3AE209F8"/>
    <w:rsid w:val="3C5570CD"/>
    <w:rsid w:val="3DD32DB0"/>
    <w:rsid w:val="3EC80C80"/>
    <w:rsid w:val="3ECB4977"/>
    <w:rsid w:val="3F2F0F1B"/>
    <w:rsid w:val="3F405C68"/>
    <w:rsid w:val="3F4316CC"/>
    <w:rsid w:val="3F641BC2"/>
    <w:rsid w:val="3FC01A97"/>
    <w:rsid w:val="40AB2AD5"/>
    <w:rsid w:val="40E24C3B"/>
    <w:rsid w:val="42966814"/>
    <w:rsid w:val="429D62D0"/>
    <w:rsid w:val="42EE1C18"/>
    <w:rsid w:val="43404211"/>
    <w:rsid w:val="435535EE"/>
    <w:rsid w:val="451E7C84"/>
    <w:rsid w:val="4568550F"/>
    <w:rsid w:val="458D49F1"/>
    <w:rsid w:val="45960A81"/>
    <w:rsid w:val="48A45CC3"/>
    <w:rsid w:val="496031C6"/>
    <w:rsid w:val="4A957590"/>
    <w:rsid w:val="4B731227"/>
    <w:rsid w:val="4C934CAC"/>
    <w:rsid w:val="4E5B066F"/>
    <w:rsid w:val="4EAC7BB5"/>
    <w:rsid w:val="4EC44CA2"/>
    <w:rsid w:val="4F784812"/>
    <w:rsid w:val="522104FB"/>
    <w:rsid w:val="522C6086"/>
    <w:rsid w:val="524169D2"/>
    <w:rsid w:val="52DA2AFE"/>
    <w:rsid w:val="52EF67CF"/>
    <w:rsid w:val="533E1030"/>
    <w:rsid w:val="54B450C2"/>
    <w:rsid w:val="54B863B4"/>
    <w:rsid w:val="54CB1AFA"/>
    <w:rsid w:val="55812F3B"/>
    <w:rsid w:val="55E83DE8"/>
    <w:rsid w:val="560F657C"/>
    <w:rsid w:val="57067E28"/>
    <w:rsid w:val="587D49B7"/>
    <w:rsid w:val="599A1944"/>
    <w:rsid w:val="59AE2CC2"/>
    <w:rsid w:val="59C277F7"/>
    <w:rsid w:val="5A051A6A"/>
    <w:rsid w:val="5BA3658B"/>
    <w:rsid w:val="5D3F78C8"/>
    <w:rsid w:val="5D736B84"/>
    <w:rsid w:val="5E42574A"/>
    <w:rsid w:val="5E4B58BB"/>
    <w:rsid w:val="60F50289"/>
    <w:rsid w:val="622038E0"/>
    <w:rsid w:val="63581F2B"/>
    <w:rsid w:val="636841CF"/>
    <w:rsid w:val="638D2AB6"/>
    <w:rsid w:val="63CA0E07"/>
    <w:rsid w:val="64AE6D91"/>
    <w:rsid w:val="668165CC"/>
    <w:rsid w:val="66D744D3"/>
    <w:rsid w:val="68DA7FF5"/>
    <w:rsid w:val="69FA52CA"/>
    <w:rsid w:val="6A891D49"/>
    <w:rsid w:val="6B9748FC"/>
    <w:rsid w:val="6BF659B2"/>
    <w:rsid w:val="6D4F14D9"/>
    <w:rsid w:val="6E623FDA"/>
    <w:rsid w:val="6EF9254D"/>
    <w:rsid w:val="6F0B7DF6"/>
    <w:rsid w:val="6F1A252A"/>
    <w:rsid w:val="6F686E88"/>
    <w:rsid w:val="6F882F7D"/>
    <w:rsid w:val="70DF7E84"/>
    <w:rsid w:val="71030329"/>
    <w:rsid w:val="731D4A37"/>
    <w:rsid w:val="749A2F6B"/>
    <w:rsid w:val="75D642C4"/>
    <w:rsid w:val="774F51F5"/>
    <w:rsid w:val="77585516"/>
    <w:rsid w:val="777344F7"/>
    <w:rsid w:val="787B7F37"/>
    <w:rsid w:val="7B2A5A9E"/>
    <w:rsid w:val="7B402542"/>
    <w:rsid w:val="7CFF3737"/>
    <w:rsid w:val="7D1A74A2"/>
    <w:rsid w:val="7DB84DDC"/>
    <w:rsid w:val="7E386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214"/>
      <w:ind w:left="3462" w:right="3463"/>
      <w:jc w:val="center"/>
      <w:outlineLvl w:val="0"/>
    </w:pPr>
    <w:rPr>
      <w:b/>
      <w:bCs/>
      <w:sz w:val="32"/>
      <w:szCs w:val="32"/>
    </w:rPr>
  </w:style>
  <w:style w:type="paragraph" w:styleId="2">
    <w:name w:val="heading 5"/>
    <w:basedOn w:val="1"/>
    <w:next w:val="1"/>
    <w:qFormat/>
    <w:uiPriority w:val="0"/>
    <w:pPr>
      <w:keepNext/>
      <w:keepLines/>
      <w:numPr>
        <w:ilvl w:val="4"/>
        <w:numId w:val="1"/>
      </w:numPr>
      <w:ind w:left="2551" w:hanging="850"/>
      <w:jc w:val="both"/>
      <w:outlineLvl w:val="4"/>
    </w:pPr>
    <w:rPr>
      <w:rFonts w:ascii="Calibri" w:hAnsi="Calibri" w:eastAsia="Calibri" w:cs="Times New Roman"/>
      <w:b/>
      <w:bCs/>
      <w:kern w:val="1"/>
      <w:sz w:val="21"/>
      <w:szCs w:val="28"/>
      <w:lang w:val="en-US"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widowControl/>
      <w:autoSpaceDE/>
      <w:autoSpaceDN/>
      <w:spacing w:before="100" w:beforeAutospacing="1" w:after="100" w:afterAutospacing="1"/>
    </w:pPr>
    <w:rPr>
      <w:rFonts w:eastAsia="仿宋_GB2312"/>
      <w:sz w:val="24"/>
      <w:szCs w:val="32"/>
      <w:lang w:val="en-US" w:bidi="ar-SA"/>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99"/>
    <w:pPr>
      <w:spacing w:before="43"/>
      <w:ind w:left="1468" w:hanging="160"/>
    </w:pPr>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8722</Words>
  <Characters>9110</Characters>
  <Lines>73</Lines>
  <Paragraphs>20</Paragraphs>
  <TotalTime>48</TotalTime>
  <ScaleCrop>false</ScaleCrop>
  <LinksUpToDate>false</LinksUpToDate>
  <CharactersWithSpaces>9133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2022-10-26T02:53:00Z</dcterms:created>
  <dc:creator>LJXQ</dc:creator>
  <cp:lastModifiedBy>Administrator</cp:lastModifiedBy>
  <cp:lastPrinted>2022-12-14T01:05:00Z</cp:lastPrinted>
  <dcterms:modified xsi:type="dcterms:W3CDTF">2022-12-14T01:49:00Z</dcterms:modified>
  <dc:title>&lt;4D6963726F736F667420576F7264202D20D6D8C7ECCAD0BFB1B2ECC9E8BCC6D0D0D2B5D0C5D3C3B9DCC0EDD4DDD0D0B0ECB7A82D2D323031382D31312D32372E646F63&gt;</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PScript5.dll Version 5.2.2</vt:lpwstr>
  </property>
  <property fmtid="{D5CDD505-2E9C-101B-9397-08002B2CF9AE}" pid="4" name="LastSaved">
    <vt:filetime>2020-05-11T00:00:00Z</vt:filetime>
  </property>
  <property fmtid="{D5CDD505-2E9C-101B-9397-08002B2CF9AE}" pid="5" name="KSOProductBuildVer">
    <vt:lpwstr>2052-11.1.0.12763</vt:lpwstr>
  </property>
  <property fmtid="{D5CDD505-2E9C-101B-9397-08002B2CF9AE}" pid="6" name="ICV">
    <vt:lpwstr>94BC8699C8094E5B824F4F57EA625004</vt:lpwstr>
  </property>
</Properties>
</file>